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000000"/>
          <w:sz w:val="76"/>
          <w:szCs w:val="76"/>
          <w:highlight w:val="none"/>
        </w:rPr>
      </w:pPr>
      <w:r>
        <w:rPr>
          <w:rFonts w:ascii="宋体" w:hAnsi="宋体" w:cs="宋体"/>
          <w:color w:val="000000"/>
          <w:sz w:val="76"/>
          <w:szCs w:val="76"/>
          <w:highlight w:val="none"/>
        </w:rPr>
      </w:r>
      <w:r/>
    </w:p>
    <w:p>
      <w:pP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t xml:space="preserve">采 购 文 件</w:t>
      </w:r>
      <w:r/>
    </w:p>
    <w:p>
      <w:pPr>
        <w:spacing w:line="360" w:lineRule="auto"/>
        <w:rPr>
          <w:rFonts w:ascii="宋体" w:hAnsi="宋体" w:cs="宋体"/>
          <w:color w:val="000000"/>
          <w:sz w:val="44"/>
          <w:highlight w:val="none"/>
        </w:rPr>
      </w:pPr>
      <w:r>
        <w:rPr>
          <w:rFonts w:ascii="宋体" w:hAnsi="宋体" w:cs="宋体"/>
          <w:color w:val="000000"/>
          <w:sz w:val="44"/>
          <w:highlight w:val="none"/>
        </w:rPr>
      </w:r>
      <w:r/>
    </w:p>
    <w:p>
      <w:pP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tbl>
      <w:tblPr>
        <w:tblStyle w:val="699"/>
        <w:tblW w:w="9998" w:type="dxa"/>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98"/>
      </w:tblGrid>
      <w:tr>
        <w:trPr>
          <w:trHeight w:val="1523"/>
        </w:trPr>
        <w:tc>
          <w:tcPr>
            <w:tcW w:w="9998" w:type="dxa"/>
            <w:vAlign w:val="top"/>
            <w:textDirection w:val="lrTb"/>
            <w:noWrap w:val="false"/>
          </w:tcPr>
          <w:p>
            <w:pPr>
              <w:ind w:left="1440" w:hanging="1440"/>
              <w:jc w:val="center"/>
              <w:spacing w:line="360" w:lineRule="auto"/>
              <w:rPr>
                <w:rFonts w:hint="eastAsia" w:ascii="宋体" w:hAnsi="宋体" w:eastAsia="宋体" w:cs="宋体"/>
                <w:color w:val="000000"/>
                <w:sz w:val="32"/>
                <w:szCs w:val="36"/>
                <w:highlight w:val="none"/>
                <w:lang w:eastAsia="zh-CN"/>
              </w:rPr>
            </w:pPr>
            <w:r>
              <w:rPr>
                <w:rFonts w:hint="eastAsia" w:ascii="宋体" w:hAnsi="宋体" w:cs="宋体"/>
                <w:color w:val="000000"/>
                <w:sz w:val="32"/>
                <w:szCs w:val="36"/>
                <w:highlight w:val="none"/>
              </w:rPr>
              <w:t xml:space="preserve">项目编号：</w:t>
            </w:r>
            <w:r>
              <w:rPr>
                <w:rFonts w:hint="eastAsia" w:ascii="宋体" w:hAnsi="宋体" w:cs="宋体"/>
                <w:color w:val="000000"/>
                <w:sz w:val="32"/>
                <w:szCs w:val="36"/>
                <w:highlight w:val="none"/>
                <w:lang w:eastAsia="zh-CN"/>
              </w:rPr>
              <w:t xml:space="preserve">JSZC-320115-FHGL-G2025-0033</w:t>
            </w:r>
            <w:r/>
          </w:p>
          <w:p>
            <w:pPr>
              <w:ind w:left="1440" w:hanging="1440"/>
              <w:jc w:val="center"/>
              <w:spacing w:line="360" w:lineRule="auto"/>
              <w:rPr>
                <w:rFonts w:hint="eastAsia" w:ascii="宋体" w:hAnsi="宋体" w:eastAsia="宋体" w:cs="宋体"/>
                <w:color w:val="000000"/>
                <w:sz w:val="32"/>
                <w:szCs w:val="36"/>
                <w:highlight w:val="none"/>
                <w:lang w:eastAsia="zh-CN"/>
              </w:rPr>
            </w:pPr>
            <w:r>
              <w:rPr>
                <w:rFonts w:hint="eastAsia" w:ascii="宋体" w:hAnsi="宋体" w:cs="宋体"/>
                <w:color w:val="000000"/>
                <w:sz w:val="32"/>
                <w:szCs w:val="36"/>
                <w:highlight w:val="none"/>
              </w:rPr>
              <w:t xml:space="preserve">项目名称：</w:t>
            </w:r>
            <w:bookmarkStart w:id="118" w:name="_GoBack"/>
            <w:r/>
            <w:bookmarkEnd w:id="118"/>
            <w:r>
              <w:rPr>
                <w:rFonts w:hint="eastAsia" w:ascii="宋体" w:hAnsi="宋体" w:cs="宋体"/>
                <w:color w:val="000000"/>
                <w:sz w:val="32"/>
                <w:szCs w:val="36"/>
                <w:highlight w:val="none"/>
                <w:lang w:eastAsia="zh-CN"/>
              </w:rPr>
              <w:t xml:space="preserve">2026年全区农污处理设施建设运维监督管理技术服务</w:t>
            </w:r>
            <w:r/>
          </w:p>
          <w:p>
            <w:pPr>
              <w:ind w:left="1620" w:hanging="1620"/>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tc>
      </w:tr>
    </w:tbl>
    <w:p>
      <w:pPr>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p>
    <w:p>
      <w:pPr>
        <w:jc w:val="center"/>
        <w:spacing w:line="360" w:lineRule="auto"/>
        <w:rPr>
          <w:rFonts w:ascii="宋体" w:hAnsi="宋体" w:cs="宋体"/>
          <w:color w:val="000000"/>
          <w:sz w:val="44"/>
          <w:szCs w:val="44"/>
          <w:highlight w:val="none"/>
        </w:rPr>
      </w:pPr>
      <w:r>
        <w:rPr>
          <w:rFonts w:ascii="宋体" w:hAnsi="宋体" w:cs="宋体"/>
          <w:color w:val="000000"/>
          <w:sz w:val="44"/>
          <w:szCs w:val="44"/>
          <w:highlight w:val="none"/>
        </w:rPr>
      </w:r>
      <w:r/>
    </w:p>
    <w:p>
      <w:pP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采购人：南京市江宁区水务局</w:t>
      </w:r>
      <w:r/>
    </w:p>
    <w:p>
      <w:pPr>
        <w:jc w:val="center"/>
        <w:spacing w:line="360" w:lineRule="auto"/>
        <w:rPr>
          <w:rFonts w:hint="eastAsia" w:ascii="宋体" w:hAnsi="宋体" w:cs="宋体"/>
          <w:color w:val="000000"/>
          <w:sz w:val="44"/>
          <w:highlight w:val="none"/>
        </w:rPr>
      </w:pPr>
      <w:r>
        <w:rPr>
          <w:rFonts w:hint="eastAsia" w:ascii="宋体" w:hAnsi="宋体" w:cs="宋体"/>
          <w:color w:val="000000"/>
          <w:sz w:val="36"/>
          <w:szCs w:val="36"/>
          <w:highlight w:val="none"/>
        </w:rPr>
        <w:t xml:space="preserve">采购代理机构：南京富弘工程项目管理有限公司</w:t>
      </w:r>
      <w:r/>
    </w:p>
    <w:p>
      <w:pPr>
        <w:jc w:val="center"/>
        <w:spacing w:line="360" w:lineRule="auto"/>
        <w:rPr>
          <w:rFonts w:ascii="宋体" w:hAnsi="宋体" w:eastAsia="宋体" w:cs="宋体"/>
          <w:color w:val="000000"/>
          <w:sz w:val="36"/>
          <w:szCs w:val="36"/>
          <w:highlight w:val="none"/>
          <w:lang w:val="en-US" w:eastAsia="zh-CN"/>
        </w:rPr>
        <w:sectPr>
          <w:headerReference w:type="default" r:id="rId9"/>
          <w:footnotePr/>
          <w:endnotePr/>
          <w:type w:val="nextPage"/>
          <w:pgSz w:w="11906" w:h="16838" w:orient="portrait"/>
          <w:pgMar w:top="1417" w:right="1134" w:bottom="1247" w:left="1304" w:header="851" w:footer="992" w:gutter="0"/>
          <w:cols w:num="1" w:sep="0" w:space="1701" w:equalWidth="1"/>
          <w:docGrid w:linePitch="360"/>
        </w:sectPr>
      </w:pPr>
      <w:r>
        <w:rPr>
          <w:rFonts w:hint="eastAsia" w:ascii="宋体" w:hAnsi="宋体" w:cs="宋体"/>
          <w:color w:val="000000"/>
          <w:sz w:val="36"/>
          <w:szCs w:val="36"/>
          <w:highlight w:val="none"/>
        </w:rPr>
        <w:t xml:space="preserve">二</w:t>
      </w:r>
      <w:bookmarkStart w:id="0" w:name="_Hlk37241689"/>
      <w:r>
        <w:rPr>
          <w:rFonts w:hint="eastAsia" w:ascii="宋体" w:hAnsi="宋体" w:cs="宋体"/>
          <w:color w:val="000000"/>
          <w:sz w:val="36"/>
          <w:szCs w:val="36"/>
          <w:highlight w:val="none"/>
        </w:rPr>
        <w:t xml:space="preserve">〇</w:t>
      </w:r>
      <w:bookmarkEnd w:id="0"/>
      <w:r>
        <w:rPr>
          <w:rFonts w:hint="eastAsia" w:ascii="宋体" w:hAnsi="宋体" w:cs="宋体"/>
          <w:color w:val="000000"/>
          <w:sz w:val="36"/>
          <w:szCs w:val="36"/>
          <w:highlight w:val="none"/>
        </w:rPr>
        <w:t xml:space="preserve">二五年</w:t>
      </w:r>
      <w:r>
        <w:rPr>
          <w:rFonts w:hint="eastAsia" w:ascii="宋体" w:hAnsi="宋体" w:cs="宋体"/>
          <w:color w:val="000000"/>
          <w:sz w:val="36"/>
          <w:szCs w:val="36"/>
          <w:highlight w:val="none"/>
          <w:lang w:val="en-US" w:eastAsia="zh-CN"/>
        </w:rPr>
        <w:t xml:space="preserve">十一</w:t>
      </w:r>
      <w:r>
        <w:rPr>
          <w:rFonts w:hint="eastAsia" w:ascii="宋体" w:hAnsi="宋体" w:cs="宋体"/>
          <w:color w:val="000000"/>
          <w:sz w:val="36"/>
          <w:szCs w:val="36"/>
          <w:highlight w:val="none"/>
        </w:rPr>
        <w:t xml:space="preserve">月</w:t>
      </w:r>
      <w:r>
        <w:rPr>
          <w:rFonts w:hint="eastAsia" w:ascii="宋体" w:hAnsi="宋体" w:cs="宋体"/>
          <w:color w:val="000000"/>
          <w:sz w:val="36"/>
          <w:szCs w:val="36"/>
          <w:highlight w:val="none"/>
          <w:lang w:val="en-US" w:eastAsia="zh-CN"/>
        </w:rPr>
        <w:t xml:space="preserve">十一</w:t>
      </w:r>
      <w:r>
        <w:rPr>
          <w:rFonts w:hint="eastAsia" w:ascii="宋体" w:hAnsi="宋体" w:cs="宋体"/>
          <w:color w:val="000000"/>
          <w:sz w:val="36"/>
          <w:szCs w:val="36"/>
          <w:highlight w:val="none"/>
        </w:rPr>
        <w:t xml:space="preserve">日</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 录</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3"/>
        <w:spacing w:line="360" w:lineRule="auto"/>
        <w:tabs>
          <w:tab w:val="right" w:pos="9468" w:leader="dot"/>
        </w:tabs>
        <w:rPr>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TOC \o "1-1" \h</w:instrText>
      </w:r>
      <w:r>
        <w:rPr>
          <w:rFonts w:hint="eastAsia" w:cs="宋体"/>
          <w:color w:val="000000"/>
          <w:sz w:val="28"/>
          <w:szCs w:val="28"/>
          <w:highlight w:val="none"/>
        </w:rPr>
        <w:fldChar w:fldCharType="separate"/>
      </w: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_Toc8984 </w:instrText>
      </w:r>
      <w:r>
        <w:rPr>
          <w:rFonts w:hint="eastAsia" w:cs="宋体"/>
          <w:color w:val="000000"/>
          <w:sz w:val="28"/>
          <w:szCs w:val="28"/>
          <w:highlight w:val="none"/>
        </w:rPr>
        <w:fldChar w:fldCharType="separate"/>
      </w:r>
      <w:r>
        <w:rPr>
          <w:rFonts w:hint="eastAsia" w:cs="宋体"/>
          <w:color w:val="000000"/>
          <w:sz w:val="28"/>
          <w:szCs w:val="28"/>
          <w:highlight w:val="none"/>
          <w:lang w:val="zh-CN"/>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_Toc8984 \h </w:instrText>
      </w:r>
      <w:r>
        <w:rPr>
          <w:color w:val="000000"/>
          <w:sz w:val="28"/>
          <w:szCs w:val="28"/>
          <w:highlight w:val="none"/>
        </w:rPr>
        <w:fldChar w:fldCharType="separate"/>
      </w:r>
      <w:r>
        <w:rPr>
          <w:color w:val="000000"/>
          <w:sz w:val="28"/>
          <w:szCs w:val="28"/>
          <w:highlight w:val="none"/>
        </w:rPr>
        <w:t xml:space="preserve">2</w:t>
      </w:r>
      <w:r>
        <w:rPr>
          <w:color w:val="000000"/>
          <w:sz w:val="28"/>
          <w:szCs w:val="28"/>
          <w:highlight w:val="none"/>
        </w:rPr>
        <w:fldChar w:fldCharType="end"/>
      </w:r>
      <w:r>
        <w:rPr>
          <w:rFonts w:hint="eastAsia" w:cs="宋体"/>
          <w:color w:val="000000"/>
          <w:sz w:val="28"/>
          <w:szCs w:val="28"/>
          <w:highlight w:val="none"/>
        </w:rPr>
        <w:fldChar w:fldCharType="end"/>
      </w:r>
      <w:r/>
    </w:p>
    <w:p>
      <w:pPr>
        <w:pStyle w:val="903"/>
        <w:spacing w:line="360" w:lineRule="auto"/>
        <w:tabs>
          <w:tab w:val="right" w:pos="9468" w:leader="dot"/>
        </w:tabs>
        <w:rPr>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_Toc25854 </w:instrText>
      </w:r>
      <w:r>
        <w:rPr>
          <w:rFonts w:hint="eastAsia" w:cs="宋体"/>
          <w:color w:val="000000"/>
          <w:sz w:val="28"/>
          <w:szCs w:val="28"/>
          <w:highlight w:val="none"/>
        </w:rPr>
        <w:fldChar w:fldCharType="separate"/>
      </w:r>
      <w:r>
        <w:rPr>
          <w:rFonts w:hint="eastAsia" w:cs="宋体"/>
          <w:color w:val="000000"/>
          <w:sz w:val="28"/>
          <w:szCs w:val="28"/>
          <w:highlight w:val="none"/>
          <w:lang w:val="zh-CN"/>
        </w:rPr>
        <w:t xml:space="preserve">第二章 供应商须知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_Toc25854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rFonts w:hint="eastAsia" w:cs="宋体"/>
          <w:color w:val="000000"/>
          <w:sz w:val="28"/>
          <w:szCs w:val="28"/>
          <w:highlight w:val="none"/>
        </w:rPr>
        <w:fldChar w:fldCharType="end"/>
      </w:r>
      <w:r/>
    </w:p>
    <w:p>
      <w:pPr>
        <w:pStyle w:val="903"/>
        <w:spacing w:line="360" w:lineRule="auto"/>
        <w:tabs>
          <w:tab w:val="right" w:pos="9468" w:leader="dot"/>
        </w:tabs>
        <w:rPr>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_Toc6717 </w:instrText>
      </w:r>
      <w:r>
        <w:rPr>
          <w:rFonts w:hint="eastAsia" w:cs="宋体"/>
          <w:color w:val="000000"/>
          <w:sz w:val="28"/>
          <w:szCs w:val="28"/>
          <w:highlight w:val="none"/>
        </w:rPr>
        <w:fldChar w:fldCharType="separate"/>
      </w:r>
      <w:r>
        <w:rPr>
          <w:rFonts w:hint="eastAsia"/>
          <w:color w:val="000000"/>
          <w:sz w:val="28"/>
          <w:szCs w:val="28"/>
          <w:highlight w:val="none"/>
        </w:rPr>
        <w:t xml:space="preserve">第三章 </w:t>
      </w:r>
      <w:r>
        <w:rPr>
          <w:rFonts w:hint="eastAsia"/>
          <w:color w:val="000000"/>
          <w:sz w:val="28"/>
          <w:szCs w:val="28"/>
          <w:highlight w:val="none"/>
          <w:lang w:val="zh-CN"/>
        </w:rPr>
        <w:t xml:space="preserve">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_Toc6717 \h </w:instrText>
      </w:r>
      <w:r>
        <w:rPr>
          <w:color w:val="000000"/>
          <w:sz w:val="28"/>
          <w:szCs w:val="28"/>
          <w:highlight w:val="none"/>
        </w:rPr>
        <w:fldChar w:fldCharType="separate"/>
      </w:r>
      <w:r>
        <w:rPr>
          <w:color w:val="000000"/>
          <w:sz w:val="28"/>
          <w:szCs w:val="28"/>
          <w:highlight w:val="none"/>
        </w:rPr>
        <w:t xml:space="preserve">17</w:t>
      </w:r>
      <w:r>
        <w:rPr>
          <w:color w:val="000000"/>
          <w:sz w:val="28"/>
          <w:szCs w:val="28"/>
          <w:highlight w:val="none"/>
        </w:rPr>
        <w:fldChar w:fldCharType="end"/>
      </w:r>
      <w:r>
        <w:rPr>
          <w:rFonts w:hint="eastAsia" w:cs="宋体"/>
          <w:color w:val="000000"/>
          <w:sz w:val="28"/>
          <w:szCs w:val="28"/>
          <w:highlight w:val="none"/>
        </w:rPr>
        <w:fldChar w:fldCharType="end"/>
      </w:r>
      <w:r/>
    </w:p>
    <w:p>
      <w:pPr>
        <w:pStyle w:val="903"/>
        <w:spacing w:line="360" w:lineRule="auto"/>
        <w:tabs>
          <w:tab w:val="right" w:pos="9468" w:leader="dot"/>
        </w:tabs>
        <w:rPr>
          <w:rFonts w:hint="eastAsia"/>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_Toc8160 </w:instrText>
      </w:r>
      <w:r>
        <w:rPr>
          <w:rFonts w:hint="eastAsia" w:cs="宋体"/>
          <w:color w:val="000000"/>
          <w:sz w:val="28"/>
          <w:szCs w:val="28"/>
          <w:highlight w:val="none"/>
        </w:rPr>
        <w:fldChar w:fldCharType="separate"/>
      </w:r>
      <w:r>
        <w:rPr>
          <w:rFonts w:hint="eastAsia" w:cs="宋体"/>
          <w:color w:val="000000"/>
          <w:sz w:val="28"/>
          <w:szCs w:val="28"/>
          <w:highlight w:val="none"/>
          <w:lang w:val="zh-CN"/>
        </w:rPr>
        <w:t xml:space="preserve">第四章</w:t>
      </w:r>
      <w:r>
        <w:rPr>
          <w:rFonts w:hint="eastAsia" w:cs="宋体"/>
          <w:color w:val="000000"/>
          <w:sz w:val="28"/>
          <w:szCs w:val="28"/>
          <w:highlight w:val="none"/>
        </w:rPr>
        <w:t xml:space="preserve"> </w:t>
      </w:r>
      <w:r>
        <w:rPr>
          <w:rFonts w:hint="eastAsia" w:cs="宋体"/>
          <w:color w:val="000000"/>
          <w:sz w:val="28"/>
          <w:szCs w:val="28"/>
          <w:highlight w:val="none"/>
          <w:lang w:val="zh-CN"/>
        </w:rPr>
        <w:t xml:space="preserve">采购项目需求</w:t>
      </w:r>
      <w:r>
        <w:rPr>
          <w:color w:val="000000"/>
          <w:sz w:val="28"/>
          <w:szCs w:val="28"/>
          <w:highlight w:val="none"/>
        </w:rPr>
        <w:tab/>
      </w:r>
      <w:r>
        <w:rPr>
          <w:rFonts w:hint="eastAsia"/>
          <w:color w:val="000000"/>
          <w:sz w:val="28"/>
          <w:szCs w:val="28"/>
          <w:highlight w:val="none"/>
        </w:rPr>
        <w:t xml:space="preserve">20</w:t>
      </w:r>
      <w:r>
        <w:rPr>
          <w:rFonts w:hint="eastAsia" w:cs="宋体"/>
          <w:color w:val="000000"/>
          <w:sz w:val="28"/>
          <w:szCs w:val="28"/>
          <w:highlight w:val="none"/>
        </w:rPr>
        <w:fldChar w:fldCharType="end"/>
      </w:r>
      <w:r/>
    </w:p>
    <w:p>
      <w:pPr>
        <w:pStyle w:val="903"/>
        <w:spacing w:line="360" w:lineRule="auto"/>
        <w:tabs>
          <w:tab w:val="right" w:pos="9468" w:leader="dot"/>
        </w:tabs>
        <w:rPr>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_Toc7238 </w:instrText>
      </w:r>
      <w:r>
        <w:rPr>
          <w:rFonts w:hint="eastAsia" w:cs="宋体"/>
          <w:color w:val="000000"/>
          <w:sz w:val="28"/>
          <w:szCs w:val="28"/>
          <w:highlight w:val="none"/>
        </w:rPr>
        <w:fldChar w:fldCharType="separate"/>
      </w:r>
      <w:r>
        <w:rPr>
          <w:rFonts w:hint="eastAsia"/>
          <w:color w:val="000000"/>
          <w:sz w:val="28"/>
          <w:szCs w:val="28"/>
          <w:highlight w:val="none"/>
          <w:lang w:val="zh-CN"/>
        </w:rPr>
        <w:t xml:space="preserve">第五章</w:t>
      </w:r>
      <w:r>
        <w:rPr>
          <w:rFonts w:hint="eastAsia"/>
          <w:color w:val="000000"/>
          <w:sz w:val="28"/>
          <w:szCs w:val="28"/>
          <w:highlight w:val="none"/>
        </w:rPr>
        <w:t xml:space="preserve"> </w:t>
      </w:r>
      <w:r>
        <w:rPr>
          <w:rFonts w:hint="eastAsia"/>
          <w:color w:val="000000"/>
          <w:sz w:val="28"/>
          <w:szCs w:val="28"/>
          <w:highlight w:val="none"/>
          <w:lang w:val="zh-CN"/>
        </w:rPr>
        <w:t xml:space="preserve">合同主要条款及格式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_Toc7238 \h </w:instrText>
      </w:r>
      <w:r>
        <w:rPr>
          <w:color w:val="000000"/>
          <w:sz w:val="28"/>
          <w:szCs w:val="28"/>
          <w:highlight w:val="none"/>
        </w:rPr>
        <w:fldChar w:fldCharType="separate"/>
      </w:r>
      <w:r>
        <w:rPr>
          <w:color w:val="000000"/>
          <w:sz w:val="28"/>
          <w:szCs w:val="28"/>
          <w:highlight w:val="none"/>
        </w:rPr>
        <w:t xml:space="preserve">22</w:t>
      </w:r>
      <w:r>
        <w:rPr>
          <w:color w:val="000000"/>
          <w:sz w:val="28"/>
          <w:szCs w:val="28"/>
          <w:highlight w:val="none"/>
        </w:rPr>
        <w:fldChar w:fldCharType="end"/>
      </w:r>
      <w:r>
        <w:rPr>
          <w:rFonts w:hint="eastAsia" w:cs="宋体"/>
          <w:color w:val="000000"/>
          <w:sz w:val="28"/>
          <w:szCs w:val="28"/>
          <w:highlight w:val="none"/>
        </w:rPr>
        <w:fldChar w:fldCharType="end"/>
      </w:r>
      <w:r/>
    </w:p>
    <w:p>
      <w:pPr>
        <w:pStyle w:val="903"/>
        <w:spacing w:line="360" w:lineRule="auto"/>
        <w:tabs>
          <w:tab w:val="right" w:pos="9468" w:leader="dot"/>
        </w:tabs>
        <w:rPr>
          <w:rFonts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_Toc18137 </w:instrText>
      </w:r>
      <w:r>
        <w:rPr>
          <w:rFonts w:hint="eastAsia" w:cs="宋体"/>
          <w:color w:val="000000"/>
          <w:sz w:val="28"/>
          <w:szCs w:val="28"/>
          <w:highlight w:val="none"/>
        </w:rPr>
        <w:fldChar w:fldCharType="separate"/>
      </w:r>
      <w:r>
        <w:rPr>
          <w:rFonts w:hint="eastAsia" w:cs="宋体"/>
          <w:color w:val="000000"/>
          <w:sz w:val="28"/>
          <w:szCs w:val="28"/>
          <w:highlight w:val="none"/>
          <w:lang w:val="zh-CN"/>
        </w:rPr>
        <w:t xml:space="preserve">第六章</w:t>
      </w:r>
      <w:r>
        <w:rPr>
          <w:rFonts w:hint="eastAsia" w:cs="宋体"/>
          <w:color w:val="000000"/>
          <w:sz w:val="28"/>
          <w:szCs w:val="28"/>
          <w:highlight w:val="none"/>
        </w:rPr>
        <w:t xml:space="preserve"> </w:t>
      </w:r>
      <w:r>
        <w:rPr>
          <w:rFonts w:hint="eastAsia" w:cs="宋体"/>
          <w:color w:val="000000"/>
          <w:sz w:val="28"/>
          <w:szCs w:val="28"/>
          <w:highlight w:val="none"/>
          <w:lang w:val="zh-CN"/>
        </w:rPr>
        <w:t xml:space="preserve">投标文件格式及附件</w:t>
      </w:r>
      <w:r>
        <w:rPr>
          <w:color w:val="000000"/>
          <w:sz w:val="28"/>
          <w:szCs w:val="28"/>
          <w:highlight w:val="none"/>
        </w:rPr>
        <w:tab/>
      </w:r>
      <w:r>
        <w:rPr>
          <w:rFonts w:hint="eastAsia"/>
          <w:color w:val="000000"/>
          <w:sz w:val="28"/>
          <w:szCs w:val="28"/>
          <w:highlight w:val="none"/>
        </w:rPr>
        <w:t xml:space="preserve">27</w:t>
      </w:r>
      <w:r>
        <w:rPr>
          <w:rFonts w:hint="eastAsia" w:cs="宋体"/>
          <w:color w:val="000000"/>
          <w:sz w:val="28"/>
          <w:szCs w:val="28"/>
          <w:highlight w:val="none"/>
        </w:rPr>
        <w:fldChar w:fldCharType="end"/>
      </w:r>
      <w:r/>
    </w:p>
    <w:p>
      <w:pPr>
        <w:pStyle w:val="903"/>
        <w:spacing w:line="360" w:lineRule="auto"/>
        <w:tabs>
          <w:tab w:val="right" w:pos="9468" w:leader="dot"/>
        </w:tabs>
        <w:rPr>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_Toc18137 </w:instrText>
      </w:r>
      <w:r>
        <w:rPr>
          <w:rFonts w:hint="eastAsia" w:cs="宋体"/>
          <w:color w:val="000000"/>
          <w:sz w:val="28"/>
          <w:szCs w:val="28"/>
          <w:highlight w:val="none"/>
        </w:rPr>
        <w:fldChar w:fldCharType="separate"/>
      </w:r>
      <w:r>
        <w:rPr>
          <w:rFonts w:hint="eastAsia" w:cs="宋体"/>
          <w:color w:val="000000"/>
          <w:sz w:val="28"/>
          <w:szCs w:val="28"/>
          <w:highlight w:val="none"/>
          <w:lang w:val="zh-CN"/>
        </w:rPr>
        <w:t xml:space="preserve">第七章</w:t>
      </w:r>
      <w:r>
        <w:rPr>
          <w:rFonts w:hint="eastAsia" w:cs="宋体"/>
          <w:color w:val="000000"/>
          <w:sz w:val="28"/>
          <w:szCs w:val="28"/>
          <w:highlight w:val="none"/>
        </w:rPr>
        <w:t xml:space="preserve"> </w:t>
      </w:r>
      <w:r>
        <w:rPr>
          <w:rFonts w:hint="eastAsia" w:cs="宋体"/>
          <w:color w:val="000000"/>
          <w:sz w:val="28"/>
          <w:szCs w:val="28"/>
          <w:highlight w:val="none"/>
          <w:lang w:val="zh-CN"/>
        </w:rPr>
        <w:t xml:space="preserve">供应商中标后需要提交核验的资料</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_Toc18137 \h </w:instrText>
      </w:r>
      <w:r>
        <w:rPr>
          <w:color w:val="000000"/>
          <w:sz w:val="28"/>
          <w:szCs w:val="28"/>
          <w:highlight w:val="none"/>
        </w:rPr>
        <w:fldChar w:fldCharType="separate"/>
      </w:r>
      <w:r>
        <w:rPr>
          <w:color w:val="000000"/>
          <w:sz w:val="28"/>
          <w:szCs w:val="28"/>
          <w:highlight w:val="none"/>
        </w:rPr>
        <w:t xml:space="preserve">27</w:t>
      </w:r>
      <w:r>
        <w:rPr>
          <w:color w:val="000000"/>
          <w:sz w:val="28"/>
          <w:szCs w:val="28"/>
          <w:highlight w:val="none"/>
        </w:rPr>
        <w:fldChar w:fldCharType="end"/>
      </w:r>
      <w:r>
        <w:rPr>
          <w:rFonts w:hint="eastAsia" w:cs="宋体"/>
          <w:color w:val="000000"/>
          <w:sz w:val="28"/>
          <w:szCs w:val="28"/>
          <w:highlight w:val="none"/>
        </w:rPr>
        <w:fldChar w:fldCharType="end"/>
      </w:r>
      <w:r/>
    </w:p>
    <w:p>
      <w:pPr>
        <w:rPr>
          <w:rFonts w:hint="eastAsia"/>
          <w:color w:val="000000"/>
          <w:highlight w:val="none"/>
        </w:rPr>
      </w:pPr>
      <w:r>
        <w:rPr>
          <w:rFonts w:hint="eastAsia"/>
          <w:color w:val="000000"/>
          <w:highlight w:val="none"/>
        </w:rPr>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end"/>
      </w:r>
      <w:r/>
    </w:p>
    <w:p>
      <w:pPr>
        <w:pStyle w:val="871"/>
        <w:jc w:val="center"/>
        <w:spacing w:line="360" w:lineRule="auto"/>
        <w:rPr>
          <w:rFonts w:hint="eastAsia" w:ascii="宋体" w:hAnsi="宋体" w:cs="宋体"/>
          <w:color w:val="000000"/>
          <w:sz w:val="36"/>
          <w:szCs w:val="36"/>
          <w:highlight w:val="none"/>
          <w:lang w:val="zh-CN"/>
        </w:rPr>
        <w:sectPr>
          <w:footerReference w:type="default" r:id="rId10"/>
          <w:footnotePr/>
          <w:endnotePr/>
          <w:type w:val="nextPage"/>
          <w:pgSz w:w="11906" w:h="16838" w:orient="portrait"/>
          <w:pgMar w:top="1417" w:right="1134" w:bottom="1247" w:left="1304" w:header="851" w:footer="992" w:gutter="0"/>
          <w:pgNumType w:start="1"/>
          <w:cols w:num="1" w:sep="0" w:space="1701" w:equalWidth="1"/>
          <w:docGrid w:linePitch="360"/>
        </w:sectPr>
      </w:pPr>
      <w:r/>
      <w:bookmarkStart w:id="1" w:name="_Toc12800"/>
      <w:r/>
      <w:bookmarkStart w:id="2" w:name="_Toc12683"/>
      <w:r/>
      <w:bookmarkStart w:id="3" w:name="_Toc8984"/>
      <w:r/>
      <w:r/>
    </w:p>
    <w:p>
      <w:pPr>
        <w:pStyle w:val="871"/>
        <w:jc w:val="center"/>
        <w:spacing w:line="360" w:lineRule="auto"/>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第一章 投标邀请</w:t>
      </w:r>
      <w:bookmarkEnd w:id="1"/>
      <w:r/>
      <w:bookmarkEnd w:id="2"/>
      <w:r/>
      <w:bookmarkEnd w:id="3"/>
      <w:r/>
      <w:r/>
    </w:p>
    <w:p>
      <w:pPr>
        <w:pStyle w:val="911"/>
        <w:ind w:firstLine="422"/>
        <w:spacing w:line="4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u w:val="single"/>
          <w:lang w:eastAsia="zh-CN"/>
        </w:rPr>
        <w:t xml:space="preserve">2026年全区农污处理设施建设运维监督管理技术服务</w:t>
      </w:r>
      <w:r>
        <w:rPr>
          <w:rFonts w:hint="eastAsia" w:ascii="宋体" w:hAnsi="宋体" w:eastAsia="宋体" w:cs="宋体"/>
          <w:color w:val="000000"/>
          <w:sz w:val="21"/>
          <w:szCs w:val="21"/>
          <w:highlight w:val="none"/>
        </w:rPr>
        <w:t xml:space="preserve">的潜在供应商应在江苏省政府采购交易系统“苏采云系统”获取采购文件，并于2025年</w:t>
      </w:r>
      <w:r>
        <w:rPr>
          <w:rFonts w:hint="eastAsia" w:ascii="宋体" w:hAnsi="宋体" w:eastAsia="宋体" w:cs="宋体"/>
          <w:color w:val="000000"/>
          <w:sz w:val="21"/>
          <w:szCs w:val="21"/>
          <w:highlight w:val="none"/>
          <w:lang w:val="en-US" w:eastAsia="zh-CN"/>
        </w:rPr>
        <w:t xml:space="preserve">12月2日</w:t>
      </w:r>
      <w:r>
        <w:rPr>
          <w:rFonts w:hint="eastAsia" w:ascii="宋体" w:hAnsi="宋体" w:eastAsia="宋体" w:cs="宋体"/>
          <w:color w:val="000000"/>
          <w:sz w:val="21"/>
          <w:szCs w:val="21"/>
          <w:highlight w:val="none"/>
        </w:rPr>
        <w:t xml:space="preserve">14时30分（北京时间）前提交投标文件。</w:t>
      </w:r>
      <w:r/>
    </w:p>
    <w:p>
      <w:pPr>
        <w:pStyle w:val="911"/>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p>
    <w:p>
      <w:pPr>
        <w:pStyle w:val="911"/>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JSZC-320115-FHGL-G2025-0033</w:t>
      </w:r>
      <w:r>
        <w:rPr>
          <w:rFonts w:hint="eastAsia" w:ascii="MS Gothic" w:hAnsi="MS Gothic" w:eastAsia="MS Gothic" w:cs="MS Gothic"/>
          <w:color w:val="000000"/>
          <w:sz w:val="21"/>
          <w:szCs w:val="21"/>
          <w:highlight w:val="none"/>
        </w:rPr>
        <w:t xml:space="preserve">​</w:t>
      </w:r>
      <w:r/>
    </w:p>
    <w:p>
      <w:pPr>
        <w:pStyle w:val="911"/>
        <w:ind w:firstLine="420"/>
        <w:spacing w:line="4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2026年全区农污处理设施建设运维监督管理技术服务</w:t>
      </w:r>
      <w:r/>
    </w:p>
    <w:p>
      <w:pPr>
        <w:pStyle w:val="911"/>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采购方式：公开招标</w:t>
      </w:r>
      <w:r/>
    </w:p>
    <w:p>
      <w:pPr>
        <w:pStyle w:val="911"/>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预算金额：2</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万元</w:t>
      </w:r>
      <w:r/>
    </w:p>
    <w:p>
      <w:pPr>
        <w:pStyle w:val="911"/>
        <w:ind w:firstLine="42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最高</w:t>
      </w:r>
      <w:r>
        <w:rPr>
          <w:rFonts w:hint="eastAsia" w:ascii="宋体" w:hAnsi="宋体" w:eastAsia="宋体" w:cs="宋体"/>
          <w:color w:val="000000"/>
          <w:sz w:val="21"/>
          <w:szCs w:val="21"/>
          <w:highlight w:val="none"/>
          <w:lang w:val="en-US" w:eastAsia="zh-CN"/>
        </w:rPr>
        <w:t xml:space="preserve">限价：249.4268万元（其中一标段：129.3112万元；二标段：120.1156万元）（磋商报价超过项目最高限价作无效响应处理）</w:t>
      </w:r>
      <w:r/>
    </w:p>
    <w:p>
      <w:pPr>
        <w:pStyle w:val="911"/>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val="en-US" w:eastAsia="zh-CN"/>
        </w:rPr>
        <w:t xml:space="preserve">：对全区1437个自然村农村污水处理设施及配套管网系统的建设和运维情况开展每季度全覆盖巡查工作，并全年共计抽检</w:t>
      </w:r>
      <w:r>
        <w:rPr>
          <w:rFonts w:hint="eastAsia" w:ascii="宋体" w:hAnsi="宋体" w:eastAsia="宋体" w:cs="宋体"/>
          <w:color w:val="000000"/>
          <w:sz w:val="21"/>
          <w:szCs w:val="21"/>
          <w:highlight w:val="yellow"/>
          <w:lang w:val="en-US" w:eastAsia="zh-CN"/>
        </w:rPr>
        <w:t xml:space="preserve">520</w:t>
      </w:r>
      <w:r>
        <w:rPr>
          <w:rFonts w:hint="eastAsia" w:ascii="宋体" w:hAnsi="宋体" w:eastAsia="宋体" w:cs="宋体"/>
          <w:color w:val="000000"/>
          <w:sz w:val="21"/>
          <w:szCs w:val="21"/>
          <w:highlight w:val="none"/>
          <w:lang w:val="en-US" w:eastAsia="zh-CN"/>
        </w:rPr>
        <w:t xml:space="preserve">座农村污水处理设施进出水水质。具体详见第四章。</w:t>
      </w:r>
      <w:r/>
    </w:p>
    <w:p>
      <w:pPr>
        <w:pStyle w:val="911"/>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年</w:t>
      </w:r>
      <w:r/>
    </w:p>
    <w:p>
      <w:pPr>
        <w:pStyle w:val="911"/>
        <w:ind w:firstLine="420"/>
        <w:spacing w:line="4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本项目（是/否）接受联合体投标：</w:t>
      </w:r>
      <w:r>
        <w:rPr>
          <w:rFonts w:hint="eastAsia" w:ascii="宋体" w:hAnsi="宋体" w:eastAsia="宋体" w:cs="宋体"/>
          <w:color w:val="000000"/>
          <w:sz w:val="21"/>
          <w:szCs w:val="21"/>
          <w:highlight w:val="none"/>
          <w:lang w:val="en-US" w:eastAsia="zh-CN"/>
        </w:rPr>
        <w:t xml:space="preserve">否</w:t>
      </w:r>
      <w:r/>
    </w:p>
    <w:p>
      <w:pPr>
        <w:pStyle w:val="911"/>
        <w:spacing w:line="460" w:lineRule="exact"/>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二、申请人的资格条件</w:t>
      </w:r>
      <w:r/>
    </w:p>
    <w:p>
      <w:pPr>
        <w:ind w:firstLine="420"/>
        <w:spacing w:line="460" w:lineRule="exact"/>
        <w:rPr>
          <w:rFonts w:hint="eastAsia" w:ascii="宋体" w:hAnsi="宋体" w:cs="方正大黑简体"/>
          <w:color w:val="000000"/>
          <w:szCs w:val="21"/>
          <w:highlight w:val="none"/>
        </w:rPr>
      </w:pPr>
      <w:r>
        <w:rPr>
          <w:rFonts w:hint="eastAsia" w:ascii="宋体" w:hAnsi="宋体" w:cs="方正大黑简体"/>
          <w:color w:val="000000"/>
          <w:szCs w:val="21"/>
          <w:highlight w:val="none"/>
        </w:rPr>
        <w:t xml:space="preserve">（一）满足《中华人民共和国政府采购法》第二十二条规定：</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1.具有独立承担民事责任的能力(请提供法人或者其他组织的营业执照等证明文件，自然人的身份证明)。</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2.符合《中华人民共和国政府采购法》第二十二条的相关规定，提供《南京市政府采购供应商信用记录表暨信用承诺书》，其中不适用信用承诺的情形：</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①供应商被列入严重失信主体名单；</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②被相关监管部门作出行政处罚且尚在处罚有效期内；</w:t>
      </w:r>
      <w:r/>
    </w:p>
    <w:p>
      <w:pPr>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③其他法律、行政法规规定的不适用信用承诺的情形。</w:t>
      </w:r>
      <w:r/>
    </w:p>
    <w:p>
      <w:pPr>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20"/>
        <w:spacing w:line="460" w:lineRule="exact"/>
        <w:rPr>
          <w:rFonts w:eastAsia="宋体"/>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本项目的特定资格要求：投标人须具市政公用工程监理甲级或工程监理综合资质（须上传资质证书）</w:t>
      </w:r>
      <w:r/>
    </w:p>
    <w:p>
      <w:pPr>
        <w:pStyle w:val="911"/>
        <w:spacing w:line="460" w:lineRule="exact"/>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三、获取采购文件</w:t>
      </w:r>
      <w:r/>
    </w:p>
    <w:p>
      <w:pPr>
        <w:ind w:firstLine="420"/>
        <w:spacing w:line="460" w:lineRule="exact"/>
        <w:rPr>
          <w:rFonts w:hint="eastAsia" w:ascii="宋体" w:hAnsi="宋体" w:cs="Trebuchet MS"/>
          <w:color w:val="000000"/>
          <w:szCs w:val="21"/>
          <w:highlight w:val="none"/>
        </w:rPr>
      </w:pPr>
      <w:r>
        <w:rPr>
          <w:rFonts w:hint="eastAsia" w:ascii="宋体" w:hAnsi="宋体" w:cs="宋体"/>
          <w:color w:val="000000"/>
          <w:szCs w:val="21"/>
          <w:highlight w:val="none"/>
        </w:rPr>
        <w:t xml:space="preserve">时间：</w:t>
      </w:r>
      <w:r>
        <w:rPr>
          <w:rFonts w:hint="eastAsia" w:ascii="宋体" w:hAnsi="宋体" w:cs="Trebuchet MS"/>
          <w:color w:val="000000"/>
          <w:szCs w:val="21"/>
          <w:highlight w:val="none"/>
        </w:rPr>
        <w:t xml:space="preserve">自招标公告发布之日起5个工作日</w:t>
      </w:r>
      <w:r/>
    </w:p>
    <w:p>
      <w:pPr>
        <w:pStyle w:val="911"/>
        <w:ind w:firstLine="42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地点：江苏省政府采购交易系统“苏采云系统” </w:t>
      </w:r>
      <w:r/>
    </w:p>
    <w:p>
      <w:pPr>
        <w:ind w:firstLine="420"/>
        <w:spacing w:line="460" w:lineRule="exact"/>
        <w:rPr>
          <w:rFonts w:ascii="宋体" w:hAnsi="宋体" w:cs="宋体"/>
          <w:color w:val="000000"/>
          <w:szCs w:val="21"/>
          <w:highlight w:val="none"/>
        </w:rPr>
      </w:pPr>
      <w:r/>
      <w:bookmarkStart w:id="4" w:name="_Hlk62814426"/>
      <w:r>
        <w:rPr>
          <w:rFonts w:hint="eastAsia" w:ascii="宋体" w:hAnsi="宋体" w:cs="宋体"/>
          <w:color w:val="000000"/>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460" w:lineRule="exact"/>
        <w:rPr>
          <w:rFonts w:hint="eastAsia" w:ascii="宋体" w:hAnsi="宋体" w:cs="Trebuchet MS"/>
          <w:color w:val="000000"/>
          <w:szCs w:val="21"/>
          <w:highlight w:val="none"/>
        </w:rPr>
      </w:pPr>
      <w:r>
        <w:rPr>
          <w:rFonts w:hint="eastAsia" w:ascii="宋体" w:hAnsi="宋体" w:cs="Trebuchet MS"/>
          <w:color w:val="000000"/>
          <w:szCs w:val="21"/>
          <w:highlight w:val="none"/>
        </w:rPr>
        <w:t xml:space="preserve">售价：0.00元</w:t>
      </w:r>
      <w:bookmarkEnd w:id="4"/>
      <w:r/>
    </w:p>
    <w:p>
      <w:pPr>
        <w:pStyle w:val="911"/>
        <w:spacing w:line="460" w:lineRule="exact"/>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四、提交投标文件截止时间、开标时间和地点</w:t>
      </w:r>
      <w:r/>
    </w:p>
    <w:p>
      <w:pPr>
        <w:pStyle w:val="911"/>
        <w:ind w:firstLine="420"/>
        <w:spacing w:line="460" w:lineRule="exact"/>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截止时间：2025年</w:t>
      </w:r>
      <w:r>
        <w:rPr>
          <w:rFonts w:hint="eastAsia" w:ascii="宋体" w:hAnsi="宋体" w:eastAsia="宋体" w:cs="宋体"/>
          <w:color w:val="000000"/>
          <w:sz w:val="21"/>
          <w:szCs w:val="21"/>
          <w:highlight w:val="none"/>
          <w:lang w:val="en-US" w:eastAsia="zh-CN"/>
        </w:rPr>
        <w:t xml:space="preserve">12月2日</w:t>
      </w:r>
      <w:r>
        <w:rPr>
          <w:rFonts w:hint="eastAsia" w:ascii="宋体" w:hAnsi="宋体" w:eastAsia="宋体" w:cs="宋体"/>
          <w:color w:val="000000"/>
          <w:sz w:val="21"/>
          <w:szCs w:val="21"/>
          <w:highlight w:val="none"/>
        </w:rPr>
        <w:t xml:space="preserve">14时30分（北京时间） </w:t>
      </w:r>
      <w:r/>
    </w:p>
    <w:p>
      <w:pPr>
        <w:pStyle w:val="911"/>
        <w:ind w:firstLine="420"/>
        <w:spacing w:line="460" w:lineRule="exact"/>
        <w:shd w:val="clear" w:color="auto" w:fill="ffff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地点：江苏省政府采购交易系统（以下简称“苏采云系统”）网上开标大厅</w:t>
      </w:r>
      <w:r/>
    </w:p>
    <w:p>
      <w:pPr>
        <w:pStyle w:val="911"/>
        <w:spacing w:line="460" w:lineRule="exact"/>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五、开启</w:t>
      </w:r>
      <w:r/>
    </w:p>
    <w:p>
      <w:pPr>
        <w:pStyle w:val="911"/>
        <w:ind w:firstLine="420"/>
        <w:spacing w:line="460" w:lineRule="exact"/>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时间：2025年</w:t>
      </w:r>
      <w:r>
        <w:rPr>
          <w:rFonts w:hint="eastAsia" w:ascii="宋体" w:hAnsi="宋体" w:eastAsia="宋体" w:cs="宋体"/>
          <w:color w:val="000000"/>
          <w:sz w:val="21"/>
          <w:szCs w:val="21"/>
          <w:highlight w:val="none"/>
          <w:lang w:val="en-US" w:eastAsia="zh-CN"/>
        </w:rPr>
        <w:t xml:space="preserve">12月2日</w:t>
      </w:r>
      <w:r>
        <w:rPr>
          <w:rFonts w:hint="eastAsia" w:ascii="宋体" w:hAnsi="宋体" w:eastAsia="宋体" w:cs="宋体"/>
          <w:color w:val="000000"/>
          <w:sz w:val="21"/>
          <w:szCs w:val="21"/>
          <w:highlight w:val="none"/>
        </w:rPr>
        <w:t xml:space="preserve">14时30分（北京时间）</w:t>
      </w:r>
      <w:r/>
    </w:p>
    <w:p>
      <w:pPr>
        <w:ind w:firstLine="420"/>
        <w:jc w:val="left"/>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地点：江苏省政府采购交易系统（以下简称“苏采云系统”）网上开标大厅</w:t>
      </w:r>
      <w:r/>
    </w:p>
    <w:p>
      <w:pPr>
        <w:pStyle w:val="911"/>
        <w:spacing w:line="460" w:lineRule="exact"/>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六、公告期限</w:t>
      </w:r>
      <w:r/>
    </w:p>
    <w:p>
      <w:pPr>
        <w:ind w:firstLine="420"/>
        <w:spacing w:line="460" w:lineRule="exact"/>
        <w:tabs>
          <w:tab w:val="left" w:pos="0" w:leader="none"/>
          <w:tab w:val="left" w:pos="510" w:leader="none"/>
          <w:tab w:val="left" w:pos="11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自本公告发布之日起5个工作日内</w:t>
      </w:r>
      <w:r/>
    </w:p>
    <w:p>
      <w:pPr>
        <w:spacing w:line="4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七、其他补充事宜</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HYPERLINK "http://ww</w:instrText>
      </w:r>
      <w:r>
        <w:rPr>
          <w:rFonts w:ascii="宋体" w:hAnsi="宋体" w:cs="宋体"/>
          <w:color w:val="000000"/>
          <w:szCs w:val="21"/>
          <w:highlight w:val="none"/>
        </w:rPr>
        <w:instrText xml:space="preserve">w.ccgp-jiangsu.gov.cn/jiangsu/zlxz/ee/ee3a4bc5a3454aa2b0d9312230633ce9.html</w:instrText>
      </w:r>
      <w:r>
        <w:rPr>
          <w:rFonts w:hint="eastAsia" w:ascii="宋体" w:hAnsi="宋体" w:cs="宋体"/>
          <w:color w:val="000000"/>
          <w:szCs w:val="21"/>
          <w:highlight w:val="none"/>
        </w:rPr>
        <w:instrText xml:space="preserve">"</w:instrText>
      </w:r>
      <w:r>
        <w:rPr>
          <w:rFonts w:hint="eastAsia" w:ascii="宋体" w:hAnsi="宋体" w:cs="宋体"/>
          <w:color w:val="000000"/>
          <w:szCs w:val="21"/>
          <w:highlight w:val="none"/>
        </w:rPr>
        <w:fldChar w:fldCharType="separate"/>
      </w:r>
      <w:r>
        <w:rPr>
          <w:rStyle w:val="923"/>
          <w:rFonts w:hint="eastAsia" w:ascii="宋体" w:hAnsi="宋体" w:cs="宋体"/>
          <w:color w:val="000000"/>
          <w:szCs w:val="21"/>
          <w:highlight w:val="none"/>
        </w:rPr>
        <w:t xml:space="preserve">http://ww</w:t>
      </w:r>
      <w:r>
        <w:rPr>
          <w:rStyle w:val="923"/>
          <w:rFonts w:ascii="宋体" w:hAnsi="宋体" w:cs="宋体"/>
          <w:color w:val="000000"/>
          <w:szCs w:val="21"/>
          <w:highlight w:val="none"/>
        </w:rPr>
        <w:t xml:space="preserve">w.ccgp-jiangsu.gov.cn/jiangsu/zlxz/ee/ee3a4bc5a3454aa2b0d9312230633ce9.html</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（“苏采云”南京地区客服热线025-83633744、025-83633743）。</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2.潜在供应商访问政府采购管理交易系统（苏采云）的网络地址和方法：</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 --已报名项目--报名详情页面内相应链接进行下载。</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（6）采购代理机构将数据电文形式的采购文件加载至“苏采云系统”，供潜在供应商下载或者查阅。    </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w:t>
      </w:r>
      <w:r>
        <w:rPr>
          <w:rFonts w:hint="eastAsia" w:ascii="宋体" w:hAnsi="宋体" w:cs="Trebuchet MS"/>
          <w:color w:val="000000"/>
          <w:szCs w:val="21"/>
          <w:highlight w:val="none"/>
        </w:rPr>
        <w:t xml:space="preserve">定代表</w:t>
      </w:r>
      <w:r>
        <w:rPr>
          <w:rFonts w:hint="eastAsia" w:ascii="宋体" w:hAnsi="宋体" w:cs="宋体"/>
          <w:color w:val="000000"/>
          <w:szCs w:val="21"/>
          <w:highlight w:val="none"/>
        </w:rPr>
        <w:t xml:space="preserve">人签字并盖单位公章，原件扫描件上传至投标文件中</w:t>
      </w:r>
      <w:r>
        <w:rPr>
          <w:rFonts w:hint="eastAsia" w:ascii="宋体" w:hAnsi="宋体" w:cs="Trebuchet MS"/>
          <w:color w:val="000000"/>
          <w:szCs w:val="21"/>
          <w:highlight w:val="none"/>
        </w:rPr>
        <w:t xml:space="preserve">一并提交</w:t>
      </w:r>
      <w:r>
        <w:rPr>
          <w:rFonts w:hint="eastAsia" w:ascii="宋体" w:hAnsi="宋体" w:cs="宋体"/>
          <w:color w:val="000000"/>
          <w:szCs w:val="21"/>
          <w:highlight w:val="none"/>
        </w:rPr>
        <w:t xml:space="preserve">。</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供应商诚信档案注册登记，按以下程序进行： </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p>
    <w:p>
      <w:pPr>
        <w:ind w:firstLine="42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南京市政府采购供应商诚信档案管理系统客服电话：025-52718366；供应商可就用户注册与打印“南京市政府采购供应商信用记录表暨信用承诺书”等事宜进行咨询。</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4.拒绝下述供应商参加本次采购活动：</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（1）单位负责人为同一人或者存在直接控股、管理关系的不同供应商。</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（2）凡为采购项目提供整体设计、规范编制或者项目管理、监理、检测等服务的供应商。</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（3）供应商被“信用中国”、“中国政府采购网”网站列入失信执行人、重大税收违法案件当事人名单、政府采购严重违法失信行为记录名单。</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（4）供应商未按要求提供《南京市政府采购供应商信用记录表暨信用承诺书》。</w:t>
      </w:r>
      <w:r/>
    </w:p>
    <w:p>
      <w:pPr>
        <w:ind w:firstLine="420"/>
        <w:spacing w:line="460" w:lineRule="exact"/>
        <w:shd w:val="clear" w:color="auto" w:fill="ffffff"/>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color w:val="000000"/>
          <w:szCs w:val="21"/>
          <w:highlight w:val="none"/>
        </w:rPr>
        <w:t xml:space="preserve">本项目不接受进口产品投标。</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Arial"/>
          <w:color w:val="000000"/>
          <w:szCs w:val="21"/>
          <w:highlight w:val="none"/>
        </w:rPr>
        <w:t xml:space="preserve">本项目的招标代理服务费由</w:t>
      </w:r>
      <w:r>
        <w:rPr>
          <w:rFonts w:hint="eastAsia" w:ascii="宋体" w:hAnsi="宋体" w:cs="Arial"/>
          <w:color w:val="000000"/>
          <w:szCs w:val="21"/>
          <w:highlight w:val="none"/>
        </w:rPr>
        <w:t xml:space="preserve">中标人</w:t>
      </w:r>
      <w:r>
        <w:rPr>
          <w:rFonts w:ascii="宋体" w:hAnsi="宋体" w:cs="Arial"/>
          <w:color w:val="000000"/>
          <w:szCs w:val="21"/>
          <w:highlight w:val="none"/>
        </w:rPr>
        <w:t xml:space="preserve">支付，</w:t>
      </w:r>
      <w:r>
        <w:rPr>
          <w:rFonts w:hint="eastAsia" w:ascii="宋体" w:hAnsi="宋体" w:cs="宋体"/>
          <w:color w:val="000000"/>
          <w:szCs w:val="21"/>
          <w:highlight w:val="none"/>
        </w:rPr>
        <w:t xml:space="preserve">具体详见采购文件</w:t>
      </w:r>
      <w:r>
        <w:rPr>
          <w:rFonts w:ascii="宋体" w:hAnsi="宋体" w:cs="Arial"/>
          <w:color w:val="000000"/>
          <w:szCs w:val="21"/>
          <w:highlight w:val="none"/>
        </w:rPr>
        <w:t xml:space="preserve">。</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采购人不组织现场踏勘，供应商如需踏勘现场可自行前往。</w:t>
      </w:r>
      <w:r/>
    </w:p>
    <w:p>
      <w:pPr>
        <w:ind w:firstLine="420"/>
        <w:spacing w:line="4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8.标包划分：</w:t>
      </w:r>
      <w:r>
        <w:rPr>
          <w:rFonts w:hint="eastAsia" w:ascii="宋体" w:hAnsi="宋体" w:eastAsia="宋体" w:cs="宋体"/>
          <w:color w:val="000000"/>
          <w:szCs w:val="21"/>
          <w:highlight w:val="none"/>
          <w:lang w:eastAsia="zh-CN"/>
        </w:rPr>
        <w:t xml:space="preserve">本项目划分为两个包，</w:t>
      </w:r>
      <w:r>
        <w:rPr>
          <w:rFonts w:hint="eastAsia" w:ascii="宋体" w:hAnsi="宋体" w:eastAsia="宋体" w:cs="宋体"/>
          <w:color w:val="000000"/>
          <w:szCs w:val="21"/>
          <w:highlight w:val="none"/>
          <w:lang w:val="zh-CN"/>
        </w:rPr>
        <w:t xml:space="preserve">供应商可以参与一个或多个</w:t>
      </w:r>
      <w:r>
        <w:rPr>
          <w:rFonts w:hint="eastAsia" w:ascii="宋体" w:hAnsi="宋体" w:eastAsia="宋体" w:cs="宋体"/>
          <w:color w:val="000000"/>
          <w:szCs w:val="21"/>
          <w:highlight w:val="none"/>
          <w:lang w:val="en-US" w:eastAsia="zh-CN"/>
        </w:rPr>
        <w:t xml:space="preserve">包</w:t>
      </w:r>
      <w:r>
        <w:rPr>
          <w:rFonts w:hint="eastAsia" w:ascii="宋体" w:hAnsi="宋体" w:eastAsia="宋体" w:cs="宋体"/>
          <w:color w:val="000000"/>
          <w:szCs w:val="21"/>
          <w:highlight w:val="none"/>
          <w:lang w:val="zh-CN"/>
        </w:rPr>
        <w:t xml:space="preserve">投标，本项目</w:t>
      </w:r>
      <w:r>
        <w:rPr>
          <w:rFonts w:hint="eastAsia" w:ascii="宋体" w:hAnsi="宋体" w:eastAsia="宋体" w:cs="宋体"/>
          <w:color w:val="000000"/>
          <w:szCs w:val="21"/>
          <w:highlight w:val="none"/>
          <w:lang w:val="en-US" w:eastAsia="zh-CN"/>
        </w:rPr>
        <w:t xml:space="preserve">不可</w:t>
      </w:r>
      <w:r>
        <w:rPr>
          <w:rFonts w:hint="eastAsia" w:ascii="宋体" w:hAnsi="宋体" w:eastAsia="宋体" w:cs="宋体"/>
          <w:color w:val="000000"/>
          <w:szCs w:val="21"/>
          <w:highlight w:val="none"/>
          <w:lang w:val="zh-CN"/>
        </w:rPr>
        <w:t xml:space="preserve">兼中兼得。本</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lang w:val="zh-CN"/>
        </w:rPr>
        <w:t xml:space="preserve">文件所有内容未做特别注明或说明即适用所有</w:t>
      </w:r>
      <w:r>
        <w:rPr>
          <w:rFonts w:hint="eastAsia" w:ascii="宋体" w:hAnsi="宋体" w:eastAsia="宋体" w:cs="宋体"/>
          <w:color w:val="000000"/>
          <w:szCs w:val="21"/>
          <w:highlight w:val="none"/>
          <w:lang w:val="en-US" w:eastAsia="zh-CN"/>
        </w:rPr>
        <w:t xml:space="preserve">包。标包名称：</w:t>
      </w:r>
      <w:r>
        <w:rPr>
          <w:rFonts w:hint="eastAsia" w:ascii="宋体" w:hAnsi="宋体" w:cs="宋体"/>
          <w:color w:val="000000"/>
          <w:szCs w:val="21"/>
          <w:highlight w:val="none"/>
          <w:lang w:val="zh-CN" w:eastAsia="zh-CN"/>
        </w:rPr>
        <w:t xml:space="preserve">2026年全区农污处理设施建设运维监督管理技术服务</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一标段</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cs="宋体"/>
          <w:color w:val="000000"/>
          <w:szCs w:val="21"/>
          <w:highlight w:val="none"/>
          <w:lang w:val="zh-CN" w:eastAsia="zh-CN"/>
        </w:rPr>
        <w:t xml:space="preserve">2026年全区农污处理设施建设运维监督管理技术服务</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二标段</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；（注：同一个供应商可同时报名两个标段，但只能中一个标段。本项目成交候选人确定按照一标段、二标段的顺序进行。若某供应商已被确定为一标段的第一成交候选人，则不参与后续包的成交候选人推荐。）</w:t>
      </w:r>
      <w:r/>
    </w:p>
    <w:p>
      <w:pPr>
        <w:ind w:firstLine="420"/>
        <w:spacing w:line="440" w:lineRule="exact"/>
        <w:rPr>
          <w:rFonts w:hint="eastAsia" w:ascii="Arial" w:hAnsi="Arial" w:cs="Arial"/>
          <w:bCs/>
          <w:color w:val="000000"/>
          <w:szCs w:val="21"/>
          <w:highlight w:val="none"/>
        </w:rPr>
      </w:pPr>
      <w:r>
        <w:rPr>
          <w:rFonts w:hint="eastAsia" w:ascii="Arial" w:hAnsi="Arial" w:cs="Arial"/>
          <w:bCs/>
          <w:color w:val="000000"/>
          <w:szCs w:val="21"/>
          <w:highlight w:val="none"/>
          <w:lang w:val="en-US" w:eastAsia="zh-CN"/>
        </w:rPr>
        <w:t xml:space="preserve">9</w:t>
      </w:r>
      <w:r>
        <w:rPr>
          <w:rFonts w:hint="eastAsia" w:ascii="Arial" w:hAnsi="Arial" w:cs="Arial"/>
          <w:bCs/>
          <w:color w:val="000000"/>
          <w:szCs w:val="21"/>
          <w:highlight w:val="none"/>
        </w:rPr>
        <w:t xml:space="preserve">.行业划分：其他未列明行业。</w:t>
      </w:r>
      <w:r/>
    </w:p>
    <w:p>
      <w:pPr>
        <w:pStyle w:val="911"/>
        <w:spacing w:line="460" w:lineRule="exact"/>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八、对本次招标提出询问，请按以下方式联系</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p>
    <w:p>
      <w:pPr>
        <w:ind w:firstLine="420"/>
        <w:spacing w:line="460" w:lineRule="exact"/>
        <w:rPr>
          <w:rFonts w:hint="eastAsia" w:ascii="宋体" w:hAnsi="宋体" w:cs="宋体"/>
          <w:color w:val="000000"/>
          <w:szCs w:val="21"/>
          <w:highlight w:val="none"/>
        </w:rPr>
      </w:pPr>
      <w:r/>
      <w:bookmarkStart w:id="5" w:name="_Toc28359097"/>
      <w:r/>
      <w:bookmarkStart w:id="6" w:name="_Toc35393807"/>
      <w:r/>
      <w:bookmarkStart w:id="7" w:name="_Toc28359020"/>
      <w:r/>
      <w:bookmarkStart w:id="8" w:name="_Toc35393638"/>
      <w:r>
        <w:rPr>
          <w:rFonts w:hint="eastAsia" w:ascii="宋体" w:hAnsi="宋体" w:cs="宋体"/>
          <w:color w:val="000000"/>
          <w:szCs w:val="21"/>
          <w:highlight w:val="none"/>
        </w:rPr>
        <w:t xml:space="preserve">名  称：南京市江宁区水务局</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址：南京市江宁区天元中路189号</w:t>
      </w:r>
      <w:r/>
    </w:p>
    <w:p>
      <w:pPr>
        <w:ind w:firstLine="420"/>
        <w:spacing w:line="4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025-52281518</w:t>
      </w:r>
      <w:r/>
    </w:p>
    <w:p>
      <w:pPr>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val="en-US" w:eastAsia="zh-CN"/>
        </w:rPr>
        <w:t xml:space="preserve"> 刘工</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bookmarkEnd w:id="5"/>
      <w:r/>
      <w:bookmarkEnd w:id="6"/>
      <w:r/>
      <w:bookmarkEnd w:id="7"/>
      <w:r/>
      <w:bookmarkEnd w:id="8"/>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    称：南京富弘工程项目管理有限公司　</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lang w:val="zh-CN"/>
        </w:rPr>
        <w:t xml:space="preserve">南京市江宁区东山街道文靖西路108号中前社区居委会院内西边附属楼三楼</w:t>
      </w:r>
      <w:r/>
    </w:p>
    <w:p>
      <w:pPr>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联系方式：</w:t>
      </w:r>
      <w:bookmarkStart w:id="9" w:name="_Toc35393639"/>
      <w:r/>
      <w:bookmarkStart w:id="10" w:name="_Toc28359098"/>
      <w:r/>
      <w:bookmarkStart w:id="11" w:name="_Toc35393808"/>
      <w:r/>
      <w:bookmarkStart w:id="12" w:name="_Toc28359021"/>
      <w:r>
        <w:rPr>
          <w:rFonts w:hint="eastAsia" w:ascii="宋体" w:hAnsi="宋体" w:cs="宋体"/>
          <w:color w:val="000000"/>
          <w:szCs w:val="21"/>
          <w:highlight w:val="none"/>
        </w:rPr>
        <w:t xml:space="preserve">13776545772</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bookmarkEnd w:id="9"/>
      <w:r/>
      <w:bookmarkEnd w:id="10"/>
      <w:r/>
      <w:bookmarkEnd w:id="11"/>
      <w:r/>
      <w:bookmarkEnd w:id="12"/>
      <w:r/>
      <w:r/>
    </w:p>
    <w:p>
      <w:pPr>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项目联系人：姜激扬</w:t>
      </w:r>
      <w:r/>
    </w:p>
    <w:p>
      <w:pPr>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电　　 话：13776545772</w:t>
      </w:r>
      <w:r/>
    </w:p>
    <w:p>
      <w:pPr>
        <w:pStyle w:val="911"/>
        <w:ind w:firstLine="480"/>
        <w:spacing w:line="400" w:lineRule="exact"/>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1"/>
        <w:ind w:firstLine="480"/>
        <w:spacing w:line="360" w:lineRule="auto"/>
        <w:shd w:val="clear" w:color="auto" w:fill="ffff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71"/>
        <w:jc w:val="center"/>
        <w:spacing w:line="360" w:lineRule="auto"/>
        <w:rPr>
          <w:rFonts w:hint="eastAsia" w:ascii="宋体" w:hAnsi="宋体" w:cs="宋体"/>
          <w:color w:val="000000"/>
          <w:sz w:val="36"/>
          <w:szCs w:val="36"/>
          <w:highlight w:val="none"/>
          <w:lang w:val="zh-CN"/>
        </w:rPr>
      </w:pPr>
      <w:r/>
      <w:bookmarkStart w:id="13" w:name="_Toc19899"/>
      <w:r/>
      <w:bookmarkStart w:id="14" w:name="_Toc18696"/>
      <w:r/>
      <w:bookmarkStart w:id="15" w:name="_Toc25854"/>
      <w:r>
        <w:rPr>
          <w:rFonts w:hint="eastAsia" w:ascii="宋体" w:hAnsi="宋体" w:cs="宋体"/>
          <w:color w:val="000000"/>
          <w:sz w:val="36"/>
          <w:szCs w:val="36"/>
          <w:highlight w:val="none"/>
          <w:lang w:val="zh-CN"/>
        </w:rPr>
        <w:t xml:space="preserve">第二章 供应商须知</w:t>
      </w:r>
      <w:bookmarkEnd w:id="13"/>
      <w:r/>
      <w:bookmarkEnd w:id="14"/>
      <w:r/>
      <w:bookmarkEnd w:id="15"/>
      <w:r/>
      <w:r/>
    </w:p>
    <w:p>
      <w:pPr>
        <w:jc w:val="center"/>
        <w:spacing w:line="360" w:lineRule="auto"/>
        <w:rPr>
          <w:b/>
          <w:color w:val="000000"/>
          <w:sz w:val="28"/>
          <w:highlight w:val="none"/>
          <w:lang w:val="zh-CN"/>
        </w:rPr>
      </w:pPr>
      <w:r>
        <w:rPr>
          <w:rFonts w:hint="eastAsia"/>
          <w:b/>
          <w:color w:val="000000"/>
          <w:sz w:val="28"/>
          <w:highlight w:val="none"/>
          <w:lang w:val="zh-CN"/>
        </w:rPr>
        <w:t xml:space="preserve">前附表</w:t>
      </w:r>
      <w:r/>
    </w:p>
    <w:tbl>
      <w:tblPr>
        <w:tblStyle w:val="699"/>
        <w:tblW w:w="9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946"/>
        <w:gridCol w:w="1031"/>
        <w:gridCol w:w="1686"/>
        <w:gridCol w:w="5435"/>
      </w:tblGrid>
      <w:tr>
        <w:trPr>
          <w:jc w:val="center"/>
          <w:trHeight w:val="545"/>
        </w:trPr>
        <w:tc>
          <w:tcPr>
            <w:tcW w:w="750" w:type="dxa"/>
            <w:vAlign w:val="center"/>
            <w:textDirection w:val="lrTb"/>
            <w:noWrap w:val="false"/>
          </w:tcPr>
          <w:p>
            <w:pPr>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p>
        </w:tc>
        <w:tc>
          <w:tcPr>
            <w:gridSpan w:val="2"/>
            <w:tcW w:w="1977"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项  目</w:t>
            </w:r>
            <w:r/>
          </w:p>
        </w:tc>
        <w:tc>
          <w:tcPr>
            <w:gridSpan w:val="2"/>
            <w:tcW w:w="712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内        容</w:t>
            </w:r>
            <w:r/>
          </w:p>
        </w:tc>
      </w:tr>
      <w:tr>
        <w:trPr>
          <w:jc w:val="center"/>
          <w:trHeight w:val="624"/>
        </w:trPr>
        <w:tc>
          <w:tcPr>
            <w:tcW w:w="7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p>
        </w:tc>
        <w:tc>
          <w:tcPr>
            <w:gridSpan w:val="2"/>
            <w:tcW w:w="197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p>
        </w:tc>
        <w:tc>
          <w:tcPr>
            <w:gridSpan w:val="2"/>
            <w:tcW w:w="7121" w:type="dxa"/>
            <w:vAlign w:val="center"/>
            <w:textDirection w:val="lrTb"/>
            <w:noWrap w:val="false"/>
          </w:tcPr>
          <w:p>
            <w:pP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JSZC-320115-FHGL-G2025-0033</w:t>
            </w:r>
            <w:r/>
          </w:p>
        </w:tc>
      </w:tr>
      <w:tr>
        <w:trPr>
          <w:jc w:val="center"/>
          <w:trHeight w:val="624"/>
        </w:trPr>
        <w:tc>
          <w:tcPr>
            <w:tcW w:w="7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gridSpan w:val="2"/>
            <w:tcW w:w="197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项目名称</w:t>
            </w:r>
            <w:r/>
          </w:p>
        </w:tc>
        <w:tc>
          <w:tcPr>
            <w:gridSpan w:val="2"/>
            <w:tcW w:w="7121" w:type="dxa"/>
            <w:vAlign w:val="center"/>
            <w:textDirection w:val="lrTb"/>
            <w:noWrap w:val="false"/>
          </w:tcPr>
          <w:p>
            <w:pP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2026年全区农污处理设施建设运维监督管理技术服务</w:t>
            </w:r>
            <w:r/>
          </w:p>
        </w:tc>
      </w:tr>
      <w:tr>
        <w:trPr>
          <w:jc w:val="center"/>
          <w:trHeight w:val="624"/>
        </w:trPr>
        <w:tc>
          <w:tcPr>
            <w:tcW w:w="7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gridSpan w:val="2"/>
            <w:tcW w:w="197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采购代理机构</w:t>
            </w:r>
            <w:r/>
          </w:p>
        </w:tc>
        <w:tc>
          <w:tcPr>
            <w:gridSpan w:val="2"/>
            <w:tcW w:w="7121" w:type="dxa"/>
            <w:vAlign w:val="center"/>
            <w:textDirection w:val="lrTb"/>
            <w:noWrap w:val="false"/>
          </w:tcPr>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南京富弘工程项目管理有限公司</w:t>
            </w:r>
            <w:r/>
          </w:p>
        </w:tc>
      </w:tr>
      <w:tr>
        <w:trPr>
          <w:jc w:val="center"/>
          <w:trHeight w:val="624"/>
        </w:trPr>
        <w:tc>
          <w:tcPr>
            <w:tcW w:w="7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p>
        </w:tc>
        <w:tc>
          <w:tcPr>
            <w:gridSpan w:val="2"/>
            <w:tcW w:w="197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采购代理机构地址</w:t>
            </w:r>
            <w:r/>
          </w:p>
        </w:tc>
        <w:tc>
          <w:tcPr>
            <w:gridSpan w:val="2"/>
            <w:tcW w:w="7121" w:type="dxa"/>
            <w:vAlign w:val="center"/>
            <w:textDirection w:val="lrTb"/>
            <w:noWrap w:val="false"/>
          </w:tcPr>
          <w:p>
            <w:pP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南京市江宁区东山街道文靖西路108号中前社区院内西楼三楼</w:t>
            </w:r>
            <w:r/>
          </w:p>
        </w:tc>
      </w:tr>
      <w:tr>
        <w:trPr>
          <w:jc w:val="center"/>
          <w:trHeight w:val="624"/>
        </w:trPr>
        <w:tc>
          <w:tcPr>
            <w:tcW w:w="7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p>
        </w:tc>
        <w:tc>
          <w:tcPr>
            <w:gridSpan w:val="2"/>
            <w:tcW w:w="197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采购文件获取方法</w:t>
            </w:r>
            <w:r/>
          </w:p>
        </w:tc>
        <w:tc>
          <w:tcPr>
            <w:gridSpan w:val="2"/>
            <w:tcW w:w="7121" w:type="dxa"/>
            <w:vAlign w:val="center"/>
            <w:textDirection w:val="lrTb"/>
            <w:noWrap w:val="false"/>
          </w:tcPr>
          <w:p>
            <w:pPr>
              <w:spacing w:line="360" w:lineRule="auto"/>
              <w:rPr>
                <w:rFonts w:hint="eastAsia" w:ascii="宋体" w:hAnsi="宋体"/>
                <w:color w:val="000000"/>
                <w:szCs w:val="21"/>
                <w:highlight w:val="none"/>
              </w:rPr>
            </w:pPr>
            <w:r>
              <w:rPr>
                <w:rFonts w:hint="eastAsia" w:ascii="宋体" w:hAnsi="宋体" w:cs="Trebuchet MS"/>
                <w:color w:val="000000"/>
                <w:szCs w:val="21"/>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624"/>
        </w:trPr>
        <w:tc>
          <w:tcPr>
            <w:tcW w:w="750"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p>
        </w:tc>
        <w:tc>
          <w:tcPr>
            <w:gridSpan w:val="2"/>
            <w:tcW w:w="1977"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s="Trebuchet MS"/>
                <w:color w:val="000000"/>
                <w:szCs w:val="21"/>
                <w:highlight w:val="none"/>
              </w:rPr>
              <w:t xml:space="preserve">最高限价</w:t>
            </w:r>
            <w:r/>
          </w:p>
        </w:tc>
        <w:tc>
          <w:tcPr>
            <w:gridSpan w:val="2"/>
            <w:tcW w:w="7121" w:type="dxa"/>
            <w:vAlign w:val="center"/>
            <w:textDirection w:val="lrTb"/>
            <w:noWrap w:val="false"/>
          </w:tcPr>
          <w:p>
            <w:pPr>
              <w:pStyle w:val="911"/>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249.4268万元（其中一标段：129.3112万元；二标段：120.1156万元）（磋商报价超过项目最高限价作无效响应处理）</w:t>
            </w:r>
            <w:r/>
          </w:p>
        </w:tc>
      </w:tr>
      <w:tr>
        <w:trPr>
          <w:jc w:val="center"/>
          <w:trHeight w:val="624"/>
        </w:trPr>
        <w:tc>
          <w:tcPr>
            <w:tcW w:w="7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7</w:t>
            </w:r>
            <w:r/>
          </w:p>
        </w:tc>
        <w:tc>
          <w:tcPr>
            <w:gridSpan w:val="2"/>
            <w:tcW w:w="197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t xml:space="preserve">踏勘</w:t>
            </w:r>
            <w:r>
              <w:rPr>
                <w:rFonts w:hint="eastAsia" w:ascii="宋体" w:hAnsi="宋体"/>
                <w:color w:val="000000"/>
                <w:szCs w:val="21"/>
                <w:highlight w:val="none"/>
              </w:rPr>
              <w:t xml:space="preserve">现场</w:t>
            </w:r>
            <w:r/>
          </w:p>
        </w:tc>
        <w:tc>
          <w:tcPr>
            <w:gridSpan w:val="2"/>
            <w:tcW w:w="7121" w:type="dxa"/>
            <w:vAlign w:val="center"/>
            <w:textDirection w:val="lrTb"/>
            <w:noWrap w:val="false"/>
          </w:tcPr>
          <w:p>
            <w:pPr>
              <w:spacing w:line="360" w:lineRule="auto"/>
              <w:rPr>
                <w:rFonts w:hint="eastAsia" w:ascii="宋体" w:hAnsi="宋体"/>
                <w:color w:val="000000"/>
                <w:szCs w:val="21"/>
                <w:highlight w:val="none"/>
                <w:lang w:val="zh-CN"/>
              </w:rPr>
            </w:pPr>
            <w:r>
              <w:rPr>
                <w:rFonts w:hint="eastAsia" w:ascii="宋体" w:hAnsi="宋体" w:cs="宋体"/>
                <w:color w:val="000000"/>
                <w:szCs w:val="21"/>
                <w:highlight w:val="none"/>
              </w:rPr>
              <w:t xml:space="preserve">采购人</w:t>
            </w:r>
            <w:r>
              <w:rPr>
                <w:rFonts w:hint="eastAsia" w:ascii="宋体" w:hAnsi="宋体"/>
                <w:color w:val="000000"/>
                <w:szCs w:val="21"/>
                <w:highlight w:val="none"/>
                <w:lang w:val="zh-CN"/>
              </w:rPr>
              <w:t xml:space="preserve">不组织现场踏勘，供应商如需踏勘现场可自行前往。</w:t>
            </w:r>
            <w:r/>
          </w:p>
        </w:tc>
      </w:tr>
      <w:tr>
        <w:trPr>
          <w:jc w:val="center"/>
          <w:trHeight w:val="624"/>
        </w:trPr>
        <w:tc>
          <w:tcPr>
            <w:tcW w:w="7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8</w:t>
            </w:r>
            <w:r/>
          </w:p>
        </w:tc>
        <w:tc>
          <w:tcPr>
            <w:gridSpan w:val="2"/>
            <w:tcW w:w="1977" w:type="dxa"/>
            <w:vAlign w:val="center"/>
            <w:textDirection w:val="lrTb"/>
            <w:noWrap w:val="false"/>
          </w:tcPr>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投标有效期</w:t>
            </w:r>
            <w:r/>
          </w:p>
        </w:tc>
        <w:tc>
          <w:tcPr>
            <w:gridSpan w:val="2"/>
            <w:tcW w:w="7121"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投标后九十（90）天</w:t>
            </w:r>
            <w:r/>
          </w:p>
        </w:tc>
      </w:tr>
      <w:tr>
        <w:trPr>
          <w:jc w:val="center"/>
          <w:trHeight w:val="624"/>
        </w:trPr>
        <w:tc>
          <w:tcPr>
            <w:tcW w:w="750" w:type="dxa"/>
            <w:vAlign w:val="center"/>
            <w:vMerge w:val="restart"/>
            <w:textDirection w:val="lrTb"/>
            <w:noWrap w:val="false"/>
          </w:tcPr>
          <w:p>
            <w:pPr>
              <w:jc w:val="center"/>
              <w:spacing w:line="360" w:lineRule="auto"/>
              <w:widowControl/>
              <w:rPr>
                <w:rFonts w:hint="eastAsia" w:ascii="宋体" w:hAnsi="宋体"/>
                <w:strike/>
                <w:color w:val="000000"/>
                <w:szCs w:val="21"/>
                <w:highlight w:val="none"/>
              </w:rPr>
            </w:pPr>
            <w:r>
              <w:rPr>
                <w:rFonts w:hint="eastAsia" w:ascii="宋体" w:hAnsi="宋体"/>
                <w:color w:val="000000"/>
                <w:szCs w:val="21"/>
                <w:highlight w:val="none"/>
              </w:rPr>
              <w:t xml:space="preserve">9</w:t>
            </w:r>
            <w:r/>
          </w:p>
        </w:tc>
        <w:tc>
          <w:tcPr>
            <w:tcW w:w="946" w:type="dxa"/>
            <w:vAlign w:val="center"/>
            <w:vMerge w:val="restart"/>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投标文件提交信  息</w:t>
            </w:r>
            <w:r/>
          </w:p>
        </w:tc>
        <w:tc>
          <w:tcPr>
            <w:tcW w:w="1031"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时间</w:t>
            </w:r>
            <w:r/>
          </w:p>
        </w:tc>
        <w:tc>
          <w:tcPr>
            <w:gridSpan w:val="2"/>
            <w:tcW w:w="7121" w:type="dxa"/>
            <w:vAlign w:val="center"/>
            <w:textDirection w:val="lrTb"/>
            <w:noWrap w:val="false"/>
          </w:tcPr>
          <w:p>
            <w:pPr>
              <w:spacing w:line="360" w:lineRule="auto"/>
              <w:rPr>
                <w:rFonts w:hint="eastAsia" w:ascii="宋体" w:hAnsi="宋体"/>
                <w:color w:val="000000"/>
                <w:szCs w:val="21"/>
                <w:highlight w:val="none"/>
                <w:lang w:val="zh-CN"/>
              </w:rPr>
            </w:pPr>
            <w:r>
              <w:rPr>
                <w:rFonts w:hint="eastAsia" w:ascii="宋体" w:hAnsi="宋体" w:cs="Trebuchet MS"/>
                <w:color w:val="000000"/>
                <w:szCs w:val="21"/>
                <w:highlight w:val="none"/>
              </w:rPr>
              <w:t xml:space="preserve">2025年</w:t>
            </w:r>
            <w:r>
              <w:rPr>
                <w:rFonts w:hint="eastAsia" w:ascii="宋体" w:hAnsi="宋体" w:cs="Trebuchet MS"/>
                <w:color w:val="000000"/>
                <w:szCs w:val="21"/>
                <w:highlight w:val="none"/>
                <w:lang w:val="en-US" w:eastAsia="zh-CN"/>
              </w:rPr>
              <w:t xml:space="preserve">12月2日</w:t>
            </w:r>
            <w:r>
              <w:rPr>
                <w:rFonts w:hint="eastAsia" w:ascii="宋体" w:hAnsi="宋体" w:cs="Trebuchet MS"/>
                <w:color w:val="000000"/>
                <w:szCs w:val="21"/>
                <w:highlight w:val="none"/>
              </w:rPr>
              <w:t xml:space="preserve">14时30分（北京时间）</w:t>
            </w:r>
            <w:r/>
          </w:p>
        </w:tc>
      </w:tr>
      <w:tr>
        <w:trPr>
          <w:jc w:val="center"/>
          <w:trHeight w:val="624"/>
        </w:trPr>
        <w:tc>
          <w:tcPr>
            <w:tcW w:w="750" w:type="dxa"/>
            <w:vAlign w:val="center"/>
            <w:vMerge w:val="continue"/>
            <w:textDirection w:val="lrTb"/>
            <w:noWrap w:val="false"/>
          </w:tcPr>
          <w:p>
            <w:pPr>
              <w:jc w:val="center"/>
              <w:spacing w:line="360" w:lineRule="auto"/>
              <w:widowControl/>
              <w:rPr>
                <w:rFonts w:hint="eastAsia" w:ascii="宋体" w:hAnsi="宋体"/>
                <w:strike/>
                <w:color w:val="000000"/>
                <w:szCs w:val="21"/>
                <w:highlight w:val="none"/>
              </w:rPr>
            </w:pPr>
            <w:r>
              <w:rPr>
                <w:rFonts w:hint="eastAsia" w:ascii="宋体" w:hAnsi="宋体"/>
                <w:strike/>
                <w:color w:val="000000"/>
                <w:szCs w:val="21"/>
                <w:highlight w:val="none"/>
              </w:rPr>
            </w:r>
            <w:r/>
          </w:p>
        </w:tc>
        <w:tc>
          <w:tcPr>
            <w:tcW w:w="946"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1031"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地点</w:t>
            </w:r>
            <w:r/>
          </w:p>
        </w:tc>
        <w:tc>
          <w:tcPr>
            <w:gridSpan w:val="2"/>
            <w:tcW w:w="7121" w:type="dxa"/>
            <w:vAlign w:val="center"/>
            <w:textDirection w:val="lrTb"/>
            <w:noWrap w:val="false"/>
          </w:tcPr>
          <w:p>
            <w:pPr>
              <w:spacing w:line="360" w:lineRule="auto"/>
              <w:rPr>
                <w:rFonts w:hint="eastAsia" w:ascii="宋体" w:hAnsi="宋体"/>
                <w:color w:val="000000"/>
                <w:szCs w:val="21"/>
                <w:highlight w:val="none"/>
                <w:lang w:val="zh-CN"/>
              </w:rPr>
            </w:pPr>
            <w:r>
              <w:rPr>
                <w:rFonts w:hint="eastAsia" w:ascii="宋体" w:hAnsi="宋体" w:cs="Trebuchet MS"/>
                <w:color w:val="000000"/>
                <w:szCs w:val="21"/>
                <w:highlight w:val="none"/>
              </w:rPr>
              <w:t xml:space="preserve">江苏省政府采购交易系统（以下简称“苏采云系统”）网上开标大厅</w:t>
            </w:r>
            <w:r/>
          </w:p>
        </w:tc>
      </w:tr>
      <w:tr>
        <w:trPr>
          <w:jc w:val="center"/>
          <w:trHeight w:val="624"/>
        </w:trPr>
        <w:tc>
          <w:tcPr>
            <w:tcW w:w="750" w:type="dxa"/>
            <w:vAlign w:val="center"/>
            <w:vMerge w:val="restart"/>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t xml:space="preserve">10</w:t>
            </w:r>
            <w:r/>
          </w:p>
        </w:tc>
        <w:tc>
          <w:tcPr>
            <w:tcW w:w="946" w:type="dxa"/>
            <w:vAlign w:val="center"/>
            <w:vMerge w:val="restart"/>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投标</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信息</w:t>
            </w:r>
            <w:r/>
          </w:p>
        </w:tc>
        <w:tc>
          <w:tcPr>
            <w:tcW w:w="1031" w:type="dxa"/>
            <w:vAlign w:val="center"/>
            <w:textDirection w:val="lrTb"/>
            <w:noWrap w:val="false"/>
          </w:tcPr>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时间</w:t>
            </w:r>
            <w:r/>
          </w:p>
        </w:tc>
        <w:tc>
          <w:tcPr>
            <w:gridSpan w:val="2"/>
            <w:tcW w:w="7121"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s="仿宋"/>
                <w:color w:val="000000"/>
                <w:szCs w:val="21"/>
                <w:highlight w:val="none"/>
                <w:lang w:val="zh-CN"/>
              </w:rPr>
              <w:t xml:space="preserve">2025年</w:t>
            </w:r>
            <w:r>
              <w:rPr>
                <w:rFonts w:hint="eastAsia" w:ascii="宋体" w:hAnsi="宋体" w:cs="仿宋"/>
                <w:color w:val="000000"/>
                <w:szCs w:val="21"/>
                <w:highlight w:val="none"/>
                <w:lang w:val="en-US" w:eastAsia="zh-CN"/>
              </w:rPr>
              <w:t xml:space="preserve">12月2日</w:t>
            </w:r>
            <w:r>
              <w:rPr>
                <w:rFonts w:hint="eastAsia" w:ascii="宋体" w:hAnsi="宋体"/>
                <w:color w:val="000000"/>
                <w:szCs w:val="21"/>
                <w:highlight w:val="none"/>
              </w:rPr>
              <w:t xml:space="preserve">14</w:t>
            </w:r>
            <w:r>
              <w:rPr>
                <w:rFonts w:hint="eastAsia" w:ascii="宋体" w:hAnsi="宋体"/>
                <w:color w:val="000000"/>
                <w:szCs w:val="21"/>
                <w:highlight w:val="none"/>
                <w:lang w:val="zh-CN"/>
              </w:rPr>
              <w:t xml:space="preserve">时</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0 分</w:t>
            </w:r>
            <w:r>
              <w:rPr>
                <w:rFonts w:hint="eastAsia" w:ascii="宋体" w:hAnsi="宋体" w:cs="Trebuchet MS"/>
                <w:color w:val="000000"/>
                <w:szCs w:val="21"/>
                <w:highlight w:val="none"/>
              </w:rPr>
              <w:t xml:space="preserve">（北京时间）</w:t>
            </w:r>
            <w:r/>
          </w:p>
        </w:tc>
      </w:tr>
      <w:tr>
        <w:trPr>
          <w:jc w:val="center"/>
          <w:trHeight w:val="624"/>
        </w:trPr>
        <w:tc>
          <w:tcPr>
            <w:tcW w:w="750"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946"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1031" w:type="dxa"/>
            <w:vAlign w:val="center"/>
            <w:textDirection w:val="lrTb"/>
            <w:noWrap w:val="false"/>
          </w:tcPr>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地点</w:t>
            </w:r>
            <w:r/>
          </w:p>
        </w:tc>
        <w:tc>
          <w:tcPr>
            <w:gridSpan w:val="2"/>
            <w:tcW w:w="7121"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s="Trebuchet MS"/>
                <w:color w:val="000000"/>
                <w:szCs w:val="21"/>
                <w:highlight w:val="none"/>
              </w:rPr>
              <w:t xml:space="preserve">江苏省政府采购交易系统（以下简称“</w:t>
            </w:r>
            <w:r>
              <w:rPr>
                <w:rFonts w:hint="eastAsia" w:ascii="宋体" w:hAnsi="宋体" w:cs="宋体"/>
                <w:color w:val="000000"/>
                <w:szCs w:val="21"/>
                <w:highlight w:val="none"/>
              </w:rPr>
              <w:t xml:space="preserve">苏采云系统</w:t>
            </w:r>
            <w:r>
              <w:rPr>
                <w:rFonts w:hint="eastAsia" w:ascii="宋体" w:hAnsi="宋体" w:cs="Trebuchet MS"/>
                <w:color w:val="000000"/>
                <w:szCs w:val="21"/>
                <w:highlight w:val="none"/>
              </w:rPr>
              <w:t xml:space="preserve">”）网上</w:t>
            </w:r>
            <w:r>
              <w:rPr>
                <w:rFonts w:hint="eastAsia" w:ascii="宋体" w:hAnsi="宋体" w:cs="宋体"/>
                <w:color w:val="000000"/>
                <w:szCs w:val="21"/>
                <w:highlight w:val="none"/>
              </w:rPr>
              <w:t xml:space="preserve">开标大厅</w:t>
            </w:r>
            <w:r/>
          </w:p>
        </w:tc>
      </w:tr>
      <w:tr>
        <w:trPr>
          <w:jc w:val="center"/>
          <w:trHeight w:val="473"/>
        </w:trPr>
        <w:tc>
          <w:tcPr>
            <w:tcW w:w="750" w:type="dxa"/>
            <w:vAlign w:val="center"/>
            <w:vMerge w:val="restart"/>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11</w:t>
            </w:r>
            <w:r/>
          </w:p>
        </w:tc>
        <w:tc>
          <w:tcPr>
            <w:tcW w:w="946" w:type="dxa"/>
            <w:vAlign w:val="center"/>
            <w:vMerge w:val="restart"/>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联系</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事项</w:t>
            </w:r>
            <w:r/>
          </w:p>
        </w:tc>
        <w:tc>
          <w:tcPr>
            <w:tcW w:w="1031" w:type="dxa"/>
            <w:vAlign w:val="center"/>
            <w:vMerge w:val="restart"/>
            <w:textDirection w:val="lrTb"/>
            <w:noWrap w:val="false"/>
          </w:tcPr>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采购</w:t>
            </w:r>
            <w:r/>
          </w:p>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单位</w:t>
            </w:r>
            <w:r/>
          </w:p>
        </w:tc>
        <w:tc>
          <w:tcPr>
            <w:tcW w:w="1686"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联系人</w:t>
            </w:r>
            <w:r/>
          </w:p>
        </w:tc>
        <w:tc>
          <w:tcPr>
            <w:tcW w:w="5435" w:type="dxa"/>
            <w:vAlign w:val="center"/>
            <w:textDirection w:val="lrTb"/>
            <w:noWrap w:val="false"/>
          </w:tcPr>
          <w:p>
            <w:pPr>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刘工</w:t>
            </w:r>
            <w:r/>
          </w:p>
        </w:tc>
      </w:tr>
      <w:tr>
        <w:trPr>
          <w:jc w:val="center"/>
          <w:trHeight w:val="550"/>
        </w:trPr>
        <w:tc>
          <w:tcPr>
            <w:tcW w:w="750" w:type="dxa"/>
            <w:vAlign w:val="center"/>
            <w:vMerge w:val="continue"/>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946" w:type="dxa"/>
            <w:vAlign w:val="center"/>
            <w:vMerge w:val="continue"/>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031" w:type="dxa"/>
            <w:vAlign w:val="center"/>
            <w:vMerge w:val="continue"/>
            <w:textDirection w:val="lrTb"/>
            <w:noWrap w:val="false"/>
          </w:tcPr>
          <w:p>
            <w:pPr>
              <w:jc w:val="center"/>
              <w:spacing w:line="360" w:lineRule="auto"/>
              <w:rPr>
                <w:rFonts w:ascii="宋体" w:hAnsi="宋体"/>
                <w:color w:val="000000"/>
                <w:szCs w:val="21"/>
                <w:highlight w:val="none"/>
                <w:lang w:val="zh-CN"/>
              </w:rPr>
            </w:pPr>
            <w:r>
              <w:rPr>
                <w:rFonts w:ascii="宋体" w:hAnsi="宋体"/>
                <w:color w:val="000000"/>
                <w:szCs w:val="21"/>
                <w:highlight w:val="none"/>
                <w:lang w:val="zh-CN"/>
              </w:rPr>
            </w:r>
            <w:r/>
          </w:p>
        </w:tc>
        <w:tc>
          <w:tcPr>
            <w:tcW w:w="1686"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联系电话</w:t>
            </w:r>
            <w:r/>
          </w:p>
        </w:tc>
        <w:tc>
          <w:tcPr>
            <w:tcW w:w="5435" w:type="dxa"/>
            <w:vAlign w:val="center"/>
            <w:textDirection w:val="lrTb"/>
            <w:noWrap w:val="false"/>
          </w:tcPr>
          <w:p>
            <w:pPr>
              <w:spacing w:line="360" w:lineRule="auto"/>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025-52281518</w:t>
            </w:r>
            <w:r/>
          </w:p>
        </w:tc>
      </w:tr>
      <w:tr>
        <w:trPr>
          <w:jc w:val="center"/>
          <w:trHeight w:val="505"/>
        </w:trPr>
        <w:tc>
          <w:tcPr>
            <w:tcW w:w="750" w:type="dxa"/>
            <w:vAlign w:val="center"/>
            <w:vMerge w:val="continue"/>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946" w:type="dxa"/>
            <w:vAlign w:val="center"/>
            <w:vMerge w:val="continue"/>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031" w:type="dxa"/>
            <w:vAlign w:val="center"/>
            <w:vMerge w:val="restart"/>
            <w:textDirection w:val="lrTb"/>
            <w:noWrap w:val="false"/>
          </w:tcPr>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采购代理机构</w:t>
            </w:r>
            <w:r/>
          </w:p>
        </w:tc>
        <w:tc>
          <w:tcPr>
            <w:tcW w:w="1686"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联系人</w:t>
            </w:r>
            <w:r/>
          </w:p>
        </w:tc>
        <w:tc>
          <w:tcPr>
            <w:tcW w:w="5435" w:type="dxa"/>
            <w:vAlign w:val="center"/>
            <w:textDirection w:val="lrTb"/>
            <w:noWrap w:val="false"/>
          </w:tcPr>
          <w:p>
            <w:pP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zh-CN"/>
              </w:rPr>
              <w:t xml:space="preserve">姜</w:t>
            </w:r>
            <w:r>
              <w:rPr>
                <w:rFonts w:hint="eastAsia" w:ascii="宋体" w:hAnsi="宋体"/>
                <w:color w:val="000000"/>
                <w:szCs w:val="21"/>
                <w:highlight w:val="none"/>
                <w:lang w:val="en-US" w:eastAsia="zh-CN"/>
              </w:rPr>
              <w:t xml:space="preserve">激扬</w:t>
            </w:r>
            <w:r/>
          </w:p>
        </w:tc>
      </w:tr>
      <w:tr>
        <w:trPr>
          <w:jc w:val="center"/>
          <w:trHeight w:val="614"/>
        </w:trPr>
        <w:tc>
          <w:tcPr>
            <w:tcW w:w="750"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946" w:type="dxa"/>
            <w:vAlign w:val="center"/>
            <w:vMerge w:val="continue"/>
            <w:textDirection w:val="lrTb"/>
            <w:noWrap w:val="false"/>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1031" w:type="dxa"/>
            <w:vAlign w:val="center"/>
            <w:vMerge w:val="continue"/>
            <w:textDirection w:val="lrTb"/>
            <w:noWrap w:val="false"/>
          </w:tcPr>
          <w:p>
            <w:pPr>
              <w:spacing w:line="360" w:lineRule="auto"/>
              <w:rPr>
                <w:rFonts w:ascii="宋体" w:hAnsi="宋体"/>
                <w:color w:val="000000"/>
                <w:szCs w:val="21"/>
                <w:highlight w:val="none"/>
                <w:lang w:val="zh-CN"/>
              </w:rPr>
            </w:pPr>
            <w:r>
              <w:rPr>
                <w:rFonts w:ascii="宋体" w:hAnsi="宋体"/>
                <w:color w:val="000000"/>
                <w:szCs w:val="21"/>
                <w:highlight w:val="none"/>
                <w:lang w:val="zh-CN"/>
              </w:rPr>
            </w:r>
            <w:r/>
          </w:p>
        </w:tc>
        <w:tc>
          <w:tcPr>
            <w:tcW w:w="1686"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联系电话</w:t>
            </w:r>
            <w:r/>
          </w:p>
        </w:tc>
        <w:tc>
          <w:tcPr>
            <w:tcW w:w="5435" w:type="dxa"/>
            <w:vAlign w:val="center"/>
            <w:textDirection w:val="lrTb"/>
            <w:noWrap w:val="false"/>
          </w:tcPr>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13776545772</w:t>
            </w:r>
            <w:r/>
          </w:p>
        </w:tc>
      </w:tr>
    </w:tbl>
    <w:p>
      <w:pPr>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一、总则</w:t>
      </w:r>
      <w:r/>
    </w:p>
    <w:p>
      <w:pPr>
        <w:pStyle w:val="892"/>
        <w:ind w:firstLine="413"/>
        <w:spacing w:line="460" w:lineRule="exact"/>
        <w:rPr>
          <w:rFonts w:hint="eastAsia" w:hAnsi="宋体"/>
          <w:b/>
          <w:color w:val="000000"/>
          <w:szCs w:val="21"/>
          <w:highlight w:val="none"/>
          <w:lang w:val="zh-CN"/>
        </w:rPr>
      </w:pPr>
      <w:r/>
      <w:bookmarkStart w:id="16" w:name="_Toc31812"/>
      <w:r/>
      <w:bookmarkStart w:id="17" w:name="_Toc3875"/>
      <w:r>
        <w:rPr>
          <w:rFonts w:hint="eastAsia" w:hAnsi="宋体"/>
          <w:b/>
          <w:color w:val="000000"/>
          <w:szCs w:val="21"/>
          <w:highlight w:val="none"/>
          <w:lang w:val="zh-CN"/>
        </w:rPr>
        <w:t xml:space="preserve">1、适用法律</w:t>
      </w:r>
      <w:bookmarkEnd w:id="16"/>
      <w:r/>
      <w:bookmarkEnd w:id="17"/>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 《中华人民共和国政府采购法》、《中华人民共和国政府采购法实施条例》、《政府采购货物和服务招标投标管理办法》等有关法律、规章和规定等。</w:t>
      </w:r>
      <w:r/>
    </w:p>
    <w:p>
      <w:pPr>
        <w:pStyle w:val="892"/>
        <w:ind w:firstLine="420"/>
        <w:spacing w:line="460" w:lineRule="exact"/>
        <w:rPr>
          <w:rFonts w:hint="eastAsia" w:hAnsi="宋体"/>
          <w:b/>
          <w:color w:val="000000"/>
          <w:szCs w:val="21"/>
          <w:highlight w:val="none"/>
          <w:lang w:val="zh-CN"/>
        </w:rPr>
      </w:pPr>
      <w:r/>
      <w:bookmarkStart w:id="18" w:name="_Toc23139"/>
      <w:r/>
      <w:bookmarkStart w:id="19" w:name="_Toc25938"/>
      <w:r>
        <w:rPr>
          <w:rFonts w:hint="eastAsia" w:hAnsi="宋体"/>
          <w:b/>
          <w:color w:val="000000"/>
          <w:szCs w:val="21"/>
          <w:highlight w:val="none"/>
          <w:lang w:val="zh-CN"/>
        </w:rPr>
        <w:t xml:space="preserve">2、定义</w:t>
      </w:r>
      <w:bookmarkEnd w:id="18"/>
      <w:r/>
      <w:bookmarkEnd w:id="19"/>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 “供应商”是指参加投标竞争，并符合采购文件规定资格条件的法人、其他组织或者自然人。</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2.2 “产品”指本采购文件中所述产品及相关服务。</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 “用户或使用单位”是指使用服务的单位。</w:t>
      </w:r>
      <w:r/>
    </w:p>
    <w:p>
      <w:pPr>
        <w:pStyle w:val="892"/>
        <w:ind w:firstLine="422"/>
        <w:spacing w:line="460" w:lineRule="exact"/>
        <w:rPr>
          <w:rFonts w:hint="eastAsia" w:hAnsi="宋体"/>
          <w:b/>
          <w:bCs/>
          <w:color w:val="000000"/>
          <w:szCs w:val="21"/>
          <w:highlight w:val="none"/>
          <w:lang w:val="zh-CN"/>
        </w:rPr>
      </w:pPr>
      <w:r>
        <w:rPr>
          <w:rFonts w:hint="eastAsia" w:hAnsi="宋体"/>
          <w:b/>
          <w:bCs/>
          <w:color w:val="000000"/>
          <w:szCs w:val="21"/>
          <w:highlight w:val="none"/>
          <w:lang w:val="zh-CN"/>
        </w:rPr>
        <w:t xml:space="preserve">3、政策功能</w:t>
      </w:r>
      <w:r/>
    </w:p>
    <w:p>
      <w:pPr>
        <w:ind w:firstLine="42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参加投标的中小企业，应当提供《中小企业声明函》（“中小企业划型标准”详《关于印发中小企业划型标准规定的通知》工信部联企业〔2011〕300号）。其他详见采购文件“第三章 评标标准”。</w:t>
      </w:r>
      <w:r/>
    </w:p>
    <w:p>
      <w:pPr>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二、采购文件</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4、采购文件组成</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4.1 采购文件组成：投标邀请、供应商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 采购的最小单位是包。采购服务数量及技术要求中未分包的，供应商对要求提供的服务不得部分投标；采购服务数量及技术要求中已经分包的，应当以包为单位投标。</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 采购文件如果要求供应商提交备选投标方案的，供应商可以提交备选方案；否则，备选方案将被拒绝。</w:t>
      </w:r>
      <w:r/>
    </w:p>
    <w:p>
      <w:pPr>
        <w:pStyle w:val="892"/>
        <w:ind w:firstLine="422"/>
        <w:spacing w:line="460" w:lineRule="exact"/>
        <w:rPr>
          <w:rFonts w:hint="eastAsia" w:hAnsi="宋体"/>
          <w:b/>
          <w:color w:val="000000"/>
          <w:szCs w:val="21"/>
          <w:highlight w:val="none"/>
          <w:lang w:val="zh-CN"/>
        </w:rPr>
      </w:pPr>
      <w:r/>
      <w:bookmarkStart w:id="20" w:name="_Toc19198"/>
      <w:r/>
      <w:bookmarkStart w:id="21" w:name="_Toc27071"/>
      <w:r>
        <w:rPr>
          <w:rFonts w:hint="eastAsia" w:hAnsi="宋体"/>
          <w:b/>
          <w:color w:val="000000"/>
          <w:szCs w:val="21"/>
          <w:highlight w:val="none"/>
          <w:lang w:val="zh-CN"/>
        </w:rPr>
        <w:t xml:space="preserve">5、采购文件的澄清、修改</w:t>
      </w:r>
      <w:bookmarkEnd w:id="20"/>
      <w:r/>
      <w:bookmarkEnd w:id="21"/>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5.1 采购代理机构对已发出的采购文件进行必要澄清或者修改的，将在采购文件要求提交投标文件截止时间</w:t>
      </w:r>
      <w:r>
        <w:rPr>
          <w:rFonts w:hint="eastAsia" w:ascii="宋体" w:hAnsi="宋体" w:cs="宋体"/>
          <w:b/>
          <w:bCs/>
          <w:iCs/>
          <w:color w:val="000000"/>
          <w:szCs w:val="21"/>
          <w:highlight w:val="none"/>
          <w:u w:val="single"/>
          <w:lang w:val="zh-CN"/>
        </w:rPr>
        <w:t xml:space="preserve">十五日</w:t>
      </w:r>
      <w:r>
        <w:rPr>
          <w:rFonts w:hint="eastAsia" w:ascii="宋体" w:hAnsi="宋体" w:cs="宋体"/>
          <w:color w:val="000000"/>
          <w:szCs w:val="21"/>
          <w:highlight w:val="none"/>
          <w:lang w:val="zh-CN"/>
        </w:rPr>
        <w:t xml:space="preserve">前，在原采购公告媒体发布更正公告，该澄清或者修改的内容为采购文件的组成部分。</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5.2 采购代理机构在采购文件要求提交投标文件截止时间前，有权决定延长投标截止时间和开标时间，并</w:t>
      </w:r>
      <w:r>
        <w:rPr>
          <w:rFonts w:hint="eastAsia" w:ascii="宋体" w:hAnsi="宋体" w:cs="宋体"/>
          <w:color w:val="000000"/>
          <w:szCs w:val="21"/>
          <w:highlight w:val="none"/>
        </w:rPr>
        <w:t xml:space="preserve">在原采购信息发布媒体上发布变更公告。</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.3 供应商应在投标截止时间前关注</w:t>
      </w:r>
      <w:r>
        <w:rPr>
          <w:rFonts w:hint="eastAsia" w:ascii="宋体" w:hAnsi="宋体" w:cs="宋体"/>
          <w:color w:val="000000"/>
          <w:szCs w:val="21"/>
          <w:highlight w:val="none"/>
        </w:rPr>
        <w:t xml:space="preserve">原采购信息发布媒体上</w:t>
      </w:r>
      <w:r>
        <w:rPr>
          <w:rFonts w:hint="eastAsia" w:ascii="宋体" w:hAnsi="宋体" w:cs="宋体"/>
          <w:color w:val="000000"/>
          <w:szCs w:val="21"/>
          <w:highlight w:val="none"/>
          <w:lang w:val="zh-CN"/>
        </w:rPr>
        <w:t xml:space="preserve">有关本采购项目有无变更公告。</w:t>
      </w:r>
      <w:r/>
    </w:p>
    <w:p>
      <w:pPr>
        <w:spacing w:line="460" w:lineRule="exact"/>
        <w:rPr>
          <w:rFonts w:hint="eastAsia" w:ascii="宋体" w:hAnsi="宋体" w:cs="宋体"/>
          <w:b/>
          <w:color w:val="000000"/>
          <w:szCs w:val="21"/>
          <w:highlight w:val="none"/>
        </w:rPr>
      </w:pPr>
      <w:r/>
      <w:bookmarkStart w:id="22" w:name="_Toc31483"/>
      <w:r/>
      <w:bookmarkStart w:id="23" w:name="_Toc19187"/>
      <w:r>
        <w:rPr>
          <w:rFonts w:hint="eastAsia" w:ascii="宋体" w:hAnsi="宋体" w:cs="宋体"/>
          <w:b/>
          <w:color w:val="000000"/>
          <w:szCs w:val="21"/>
          <w:highlight w:val="none"/>
        </w:rPr>
        <w:t xml:space="preserve">三、投标</w:t>
      </w:r>
      <w:bookmarkEnd w:id="22"/>
      <w:r/>
      <w:bookmarkEnd w:id="23"/>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6、投标文件的语言、计量单位、货币和编制</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6.2 供应商所使用的计量单位应为国家法定计量单位。</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6.3 供应商应用人民币报价。</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6.4 供应商应在投标文件中写清相应的项目编号、项目名称、供应商全称、地址、电话、传真等。</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b/>
          <w:bCs/>
          <w:color w:val="000000"/>
          <w:szCs w:val="21"/>
          <w:highlight w:val="none"/>
          <w:lang w:val="zh-CN"/>
        </w:rPr>
        <w:t xml:space="preserve">、联合体投标</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color w:val="000000"/>
          <w:szCs w:val="21"/>
          <w:highlight w:val="none"/>
        </w:rPr>
        <w:t xml:space="preserve">7.1 本项目不接受联合体投标。</w:t>
      </w:r>
      <w:r/>
    </w:p>
    <w:p>
      <w:pPr>
        <w:pStyle w:val="892"/>
        <w:ind w:firstLine="420"/>
        <w:spacing w:line="460" w:lineRule="exact"/>
        <w:rPr>
          <w:rFonts w:hint="eastAsia" w:hAnsi="宋体"/>
          <w:b/>
          <w:color w:val="000000"/>
          <w:szCs w:val="21"/>
          <w:highlight w:val="none"/>
          <w:lang w:val="zh-CN"/>
        </w:rPr>
      </w:pPr>
      <w:r/>
      <w:bookmarkStart w:id="24" w:name="_Toc15094"/>
      <w:r/>
      <w:bookmarkStart w:id="25" w:name="_Toc5169"/>
      <w:r>
        <w:rPr>
          <w:rFonts w:hint="eastAsia" w:hAnsi="宋体"/>
          <w:b/>
          <w:color w:val="000000"/>
          <w:szCs w:val="21"/>
          <w:highlight w:val="none"/>
          <w:lang w:val="zh-CN"/>
        </w:rPr>
        <w:t xml:space="preserve">8、投标费用</w:t>
      </w:r>
      <w:bookmarkEnd w:id="24"/>
      <w:r/>
      <w:bookmarkEnd w:id="25"/>
      <w:r/>
      <w:r/>
    </w:p>
    <w:p>
      <w:pPr>
        <w:ind w:firstLine="420"/>
        <w:spacing w:line="460" w:lineRule="exact"/>
        <w:shd w:val="clear" w:color="auto" w:fill="ffffff"/>
        <w:rPr>
          <w:rFonts w:hint="eastAsia" w:ascii="宋体" w:hAnsi="宋体" w:cs="Trebuchet MS"/>
          <w:bCs/>
          <w:color w:val="000000"/>
          <w:szCs w:val="21"/>
          <w:highlight w:val="none"/>
        </w:rPr>
      </w:pPr>
      <w:r>
        <w:rPr>
          <w:rFonts w:hint="eastAsia" w:ascii="宋体" w:hAnsi="宋体" w:cs="宋体"/>
          <w:color w:val="000000"/>
          <w:szCs w:val="21"/>
          <w:highlight w:val="none"/>
          <w:lang w:val="zh-CN"/>
        </w:rPr>
        <w:t xml:space="preserve">8.1 供应商应自行承担所有与准备和参加投标有关的费用，</w:t>
      </w:r>
      <w:r>
        <w:rPr>
          <w:rFonts w:hint="eastAsia" w:ascii="宋体" w:hAnsi="宋体" w:cs="Trebuchet MS"/>
          <w:bCs/>
          <w:color w:val="000000"/>
          <w:szCs w:val="21"/>
          <w:highlight w:val="none"/>
          <w:lang w:val="zh-CN"/>
        </w:rPr>
        <w:t xml:space="preserve">无论采购结果如何，采购代理机构和采购单位在任何情况下均无义务和责任承担这些费用。</w:t>
      </w:r>
      <w:r/>
    </w:p>
    <w:p>
      <w:pPr>
        <w:ind w:firstLine="420"/>
        <w:spacing w:line="460" w:lineRule="exact"/>
        <w:rPr>
          <w:rFonts w:hint="eastAsia" w:ascii="宋体" w:hAnsi="宋体" w:eastAsia="宋体" w:cs="Trebuchet MS"/>
          <w:bCs/>
          <w:color w:val="000000"/>
          <w:szCs w:val="21"/>
          <w:highlight w:val="none"/>
          <w:lang w:val="zh-CN"/>
        </w:rPr>
      </w:pPr>
      <w:r>
        <w:rPr>
          <w:rFonts w:hint="eastAsia" w:ascii="宋体" w:hAnsi="宋体" w:cs="宋体"/>
          <w:b/>
          <w:bCs/>
          <w:color w:val="000000"/>
          <w:szCs w:val="21"/>
          <w:highlight w:val="none"/>
          <w:lang w:val="zh-CN"/>
        </w:rPr>
        <w:t xml:space="preserve">8.2</w:t>
      </w:r>
      <w:r>
        <w:rPr>
          <w:rFonts w:hint="eastAsia" w:ascii="宋体" w:hAnsi="宋体" w:eastAsia="宋体" w:cs="Trebuchet MS"/>
          <w:bCs/>
          <w:color w:val="000000"/>
          <w:szCs w:val="21"/>
          <w:highlight w:val="none"/>
          <w:lang w:val="zh-CN"/>
        </w:rPr>
        <w:t xml:space="preserve"> 招标代理费及清单编制费按照单个标段的中标价*收费标准的</w:t>
      </w:r>
      <w:r>
        <w:rPr>
          <w:rFonts w:hint="eastAsia" w:ascii="宋体" w:hAnsi="宋体" w:eastAsia="宋体" w:cs="Trebuchet MS"/>
          <w:bCs/>
          <w:color w:val="000000"/>
          <w:szCs w:val="21"/>
          <w:highlight w:val="none"/>
          <w:lang w:val="en-US" w:eastAsia="zh-CN"/>
        </w:rPr>
        <w:t xml:space="preserve">68</w:t>
      </w:r>
      <w:r>
        <w:rPr>
          <w:rFonts w:hint="eastAsia" w:ascii="宋体" w:hAnsi="宋体" w:eastAsia="宋体" w:cs="Trebuchet MS"/>
          <w:bCs/>
          <w:color w:val="000000"/>
          <w:szCs w:val="21"/>
          <w:highlight w:val="none"/>
          <w:lang w:val="zh-CN"/>
        </w:rPr>
        <w:t xml:space="preserve">％，收费标准依据国家计委文件“计价格[2002]1980号”文和江苏省物价局江苏省住建厅“苏价服(2014)383号文”；招标代理费及清单编制费不足3000元，按3000元计算；上述费用均由中标供应商一次性支付。</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9、投标文件组成</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9.1 </w:t>
      </w:r>
      <w:r>
        <w:rPr>
          <w:rFonts w:hint="eastAsia" w:ascii="宋体" w:hAnsi="宋体" w:cs="宋体"/>
          <w:color w:val="000000"/>
          <w:szCs w:val="21"/>
          <w:highlight w:val="none"/>
        </w:rPr>
        <w:t xml:space="preserve">供应商应当根据采购文件要求编制投标文件，投标文件应对采购文件提出的要求和条件作出实质性响应，并在</w:t>
      </w:r>
      <w:r>
        <w:rPr>
          <w:rFonts w:hint="eastAsia" w:ascii="宋体" w:hAnsi="宋体" w:cs="宋体"/>
          <w:color w:val="000000"/>
          <w:szCs w:val="21"/>
          <w:highlight w:val="none"/>
          <w:lang w:val="zh-CN"/>
        </w:rPr>
        <w:t xml:space="preserve">《商务条款偏离表》和《技术条款偏离表》等处</w:t>
      </w:r>
      <w:r>
        <w:rPr>
          <w:rFonts w:hint="eastAsia" w:ascii="宋体" w:hAnsi="宋体" w:cs="宋体"/>
          <w:color w:val="000000"/>
          <w:szCs w:val="21"/>
          <w:highlight w:val="none"/>
        </w:rPr>
        <w:t xml:space="preserve">逐条标明满足与否。</w:t>
      </w:r>
      <w:r/>
    </w:p>
    <w:p>
      <w:pPr>
        <w:ind w:firstLine="420"/>
        <w:spacing w:line="46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 上传的投标文件由商务部分、技术部分、价格部分，以及其他部分组成</w:t>
      </w:r>
      <w:r>
        <w:rPr>
          <w:rFonts w:hint="eastAsia" w:ascii="宋体" w:hAnsi="宋体" w:cs="Trebuchet MS"/>
          <w:bCs/>
          <w:color w:val="000000"/>
          <w:szCs w:val="21"/>
          <w:highlight w:val="none"/>
        </w:rPr>
        <w:t xml:space="preserve">。（</w:t>
      </w:r>
      <w:r>
        <w:rPr>
          <w:rFonts w:hint="eastAsia" w:ascii="宋体" w:hAnsi="宋体" w:cs="宋体"/>
          <w:color w:val="000000"/>
          <w:szCs w:val="21"/>
          <w:highlight w:val="none"/>
          <w:lang w:val="zh-CN"/>
        </w:rPr>
        <w:t xml:space="preserve">投标文件应按采购文件要求签署、盖章或加盖电子公章</w:t>
      </w:r>
      <w:r>
        <w:rPr>
          <w:rFonts w:hint="eastAsia" w:ascii="宋体" w:hAnsi="宋体" w:cs="Trebuchet MS"/>
          <w:bCs/>
          <w:color w:val="000000"/>
          <w:szCs w:val="21"/>
          <w:highlight w:val="none"/>
        </w:rPr>
        <w:t xml:space="preserve">）</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w:t>
      </w:r>
      <w:r>
        <w:rPr>
          <w:rFonts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如标书制作工具中格式和内容与“江苏政府采购网”发布的采购文件不一致，以“江苏政府采购网”发布的采购文件为准。</w:t>
      </w:r>
      <w:r/>
    </w:p>
    <w:p>
      <w:pPr>
        <w:ind w:firstLine="422"/>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10、投标文件的商务部分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10.1 商务部分是证明供应商有资格参加投标和中标后有能力履行合同的文件，</w:t>
      </w:r>
      <w:r>
        <w:rPr>
          <w:rFonts w:hint="eastAsia" w:ascii="宋体" w:hAnsi="宋体" w:cs="宋体"/>
          <w:color w:val="000000"/>
          <w:szCs w:val="21"/>
          <w:highlight w:val="none"/>
        </w:rPr>
        <w:t xml:space="preserve">这些文件应能满足采购的要求</w:t>
      </w:r>
      <w:r>
        <w:rPr>
          <w:rFonts w:hint="eastAsia" w:ascii="宋体" w:hAnsi="宋体" w:cs="宋体"/>
          <w:color w:val="000000"/>
          <w:szCs w:val="21"/>
          <w:highlight w:val="none"/>
          <w:lang w:val="zh-CN"/>
        </w:rPr>
        <w:t xml:space="preserve">，包括但不限于下列文件，其中加</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项目不得有缺失或无效。</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投标申请及声明；</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法定代表人授权委托书；</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开标一览</w:t>
      </w:r>
      <w:r>
        <w:rPr>
          <w:rFonts w:hint="eastAsia" w:ascii="宋体" w:hAnsi="宋体" w:cs="宋体"/>
          <w:color w:val="000000"/>
          <w:szCs w:val="21"/>
          <w:highlight w:val="none"/>
          <w:lang w:val="zh-CN"/>
        </w:rPr>
        <w:t xml:space="preserve">表；</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第一章投标邀请中《中华人民共和国政府采购法》规定的</w:t>
      </w:r>
      <w:bookmarkStart w:id="26" w:name="_Hlk184886413"/>
      <w:r>
        <w:rPr>
          <w:rFonts w:hint="eastAsia" w:ascii="宋体" w:hAnsi="宋体" w:cs="宋体"/>
          <w:color w:val="000000"/>
          <w:szCs w:val="21"/>
          <w:highlight w:val="none"/>
          <w:lang w:val="zh-CN"/>
        </w:rPr>
        <w:t xml:space="preserve">资格条件证明文件</w:t>
      </w:r>
      <w:bookmarkEnd w:id="26"/>
      <w:r>
        <w:rPr>
          <w:rFonts w:hint="eastAsia" w:ascii="宋体" w:hAnsi="宋体" w:cs="宋体"/>
          <w:color w:val="000000"/>
          <w:szCs w:val="21"/>
          <w:highlight w:val="none"/>
          <w:lang w:val="zh-CN"/>
        </w:rPr>
        <w:t xml:space="preserve">；</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第一章投标邀请中采购人根据采购项目的特殊要求规定的特定条件证明文件；（如有的话）</w:t>
      </w:r>
      <w:r/>
    </w:p>
    <w:p>
      <w:pPr>
        <w:ind w:firstLine="420"/>
        <w:jc w:val="left"/>
        <w:spacing w:line="460" w:lineRule="exact"/>
        <w:widowControl/>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（6）</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《南京市政府采购供应商信用记录表暨信用承诺书》</w:t>
      </w:r>
      <w:r/>
    </w:p>
    <w:p>
      <w:pPr>
        <w:ind w:firstLine="420"/>
        <w:jc w:val="left"/>
        <w:spacing w:line="460" w:lineRule="exact"/>
        <w:widowControl/>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注：本表打印时间必须在采购文件发布之日起至提交投标文件截止日前。</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商务条款偏离表；</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（8）承担过类似业绩情况（格式自拟）；</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中小企业声明函格式；</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无重大违法记录声明；</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联合体协议书</w:t>
      </w:r>
      <w:r>
        <w:rPr>
          <w:rFonts w:hint="eastAsia" w:ascii="宋体" w:hAnsi="宋体" w:cs="宋体"/>
          <w:color w:val="000000"/>
          <w:szCs w:val="21"/>
          <w:highlight w:val="none"/>
          <w:lang w:val="zh-CN"/>
        </w:rPr>
        <w:t xml:space="preserve">（如有）；</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）残疾人福利性单位声明函（如有）</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）属于监狱企业的证明文件（如有）</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）投标供应商认为需提供的其他资料。</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11、投标文件的技术部分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11.1 技术部分是证明</w:t>
      </w:r>
      <w:r>
        <w:rPr>
          <w:rFonts w:hint="eastAsia" w:ascii="宋体" w:hAnsi="宋体" w:cs="宋体"/>
          <w:color w:val="000000"/>
          <w:szCs w:val="21"/>
          <w:highlight w:val="none"/>
        </w:rPr>
        <w:t xml:space="preserve">供应商提供的产品和服务是合格的、并符合采购文件要求的证明文件，以及</w:t>
      </w:r>
      <w:r>
        <w:rPr>
          <w:rFonts w:hint="eastAsia" w:ascii="宋体" w:hAnsi="宋体" w:cs="宋体"/>
          <w:color w:val="000000"/>
          <w:szCs w:val="21"/>
          <w:highlight w:val="none"/>
          <w:lang w:val="zh-CN"/>
        </w:rPr>
        <w:t xml:space="preserve">对</w:t>
      </w:r>
      <w:r>
        <w:rPr>
          <w:rFonts w:hint="eastAsia" w:ascii="宋体" w:hAnsi="宋体" w:cs="宋体"/>
          <w:color w:val="000000"/>
          <w:szCs w:val="21"/>
          <w:highlight w:val="none"/>
        </w:rPr>
        <w:t xml:space="preserve">开标一览</w:t>
      </w:r>
      <w:r>
        <w:rPr>
          <w:rFonts w:hint="eastAsia" w:ascii="宋体" w:hAnsi="宋体" w:cs="宋体"/>
          <w:color w:val="000000"/>
          <w:szCs w:val="21"/>
          <w:highlight w:val="none"/>
          <w:lang w:val="zh-CN"/>
        </w:rPr>
        <w:t xml:space="preserve">表中的服务的详细说明，这些文件可以是文字资料、图纸和数据等。</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11.2 若技术性能无特殊说明，则按国家有关部门最新颁布的标准及规范为准。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11.3 提供的服务如与采购文件要求有不符之处，应说明其差别之所在，并在《技术条款偏离表》中逐条予以说明。</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11.4 投标文件应按照采购文件要求提供技术资料、文件和有关证明，包括但不限于其中加</w:t>
      </w:r>
      <w:r>
        <w:rPr>
          <w:rFonts w:hint="eastAsia" w:ascii="宋体" w:hAnsi="宋体" w:cs="宋体"/>
          <w:b/>
          <w:color w:val="000000"/>
          <w:szCs w:val="21"/>
          <w:highlight w:val="none"/>
        </w:rPr>
        <w:t xml:space="preserve">“★”</w:t>
      </w:r>
      <w:r>
        <w:rPr>
          <w:rFonts w:hint="eastAsia" w:ascii="宋体" w:hAnsi="宋体" w:cs="宋体"/>
          <w:color w:val="000000"/>
          <w:szCs w:val="21"/>
          <w:highlight w:val="none"/>
          <w:lang w:val="zh-CN"/>
        </w:rPr>
        <w:t xml:space="preserve">项目不得有缺失或无效：</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（1）★技术条款偏离表；</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）投标人实施本项目拟投入的专业人员一览表；</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）供应商认为需要提供的其他技术资料。</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12、投标文件的价格部分</w:t>
      </w:r>
      <w:r/>
    </w:p>
    <w:p>
      <w:pPr>
        <w:ind w:firstLine="420"/>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12.1 价格部分是对本项目采购标的价格构成的说明，每一项服务仅接受一个价格。</w:t>
      </w:r>
      <w:r/>
    </w:p>
    <w:p>
      <w:pPr>
        <w:ind w:firstLine="420"/>
        <w:spacing w:line="460" w:lineRule="exact"/>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12.2</w:t>
      </w:r>
      <w:r>
        <w:rPr>
          <w:rFonts w:ascii="宋体" w:hAnsi="宋体" w:cs="宋体"/>
          <w:color w:val="000000"/>
          <w:szCs w:val="21"/>
          <w:highlight w:val="none"/>
          <w:lang w:val="zh-CN"/>
        </w:rPr>
        <w:t xml:space="preserve"> </w:t>
      </w:r>
      <w:r>
        <w:rPr>
          <w:rFonts w:ascii="Times New Roman" w:hAnsi="Times New Roman" w:cs="Times New Roman"/>
          <w:color w:val="000000"/>
          <w:szCs w:val="21"/>
          <w:highlight w:val="none"/>
        </w:rPr>
        <w:t xml:space="preserve">报价应包含为履行本项目合同项下所有义务的全部含税费用（包括但不限于技术资料、服务成果、人员培训等发生的所有含税费用、支付给员工的工资和国家强制缴纳的各种社会保障资金）</w:t>
      </w:r>
      <w:r>
        <w:rPr>
          <w:rFonts w:ascii="Times New Roman" w:hAnsi="Times New Roman" w:cs="Times New Roman"/>
          <w:color w:val="000000"/>
          <w:szCs w:val="21"/>
          <w:highlight w:val="none"/>
          <w:lang w:val="zh-CN"/>
        </w:rPr>
        <w:t xml:space="preserve">，</w:t>
      </w:r>
      <w:r>
        <w:rPr>
          <w:rFonts w:ascii="Times New Roman" w:hAnsi="Times New Roman" w:cs="Times New Roman"/>
          <w:bCs/>
          <w:color w:val="000000"/>
          <w:szCs w:val="21"/>
          <w:highlight w:val="none"/>
        </w:rPr>
        <w:t xml:space="preserve">以</w:t>
      </w:r>
      <w:r>
        <w:rPr>
          <w:rFonts w:ascii="Times New Roman" w:hAnsi="Times New Roman" w:cs="Times New Roman"/>
          <w:color w:val="000000"/>
          <w:szCs w:val="21"/>
          <w:highlight w:val="none"/>
        </w:rPr>
        <w:t xml:space="preserve">及供应商认为需要的其他费用等</w:t>
      </w:r>
      <w:r>
        <w:rPr>
          <w:rFonts w:hint="eastAsia" w:ascii="宋体" w:hAnsi="宋体" w:cs="宋体"/>
          <w:b/>
          <w:color w:val="000000"/>
          <w:szCs w:val="21"/>
          <w:highlight w:val="none"/>
        </w:rPr>
        <w:t xml:space="preserve">。</w:t>
      </w:r>
      <w:r/>
    </w:p>
    <w:p>
      <w:pPr>
        <w:ind w:firstLine="420"/>
        <w:spacing w:line="460" w:lineRule="exact"/>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12.3 </w:t>
      </w:r>
      <w:r>
        <w:rPr>
          <w:rFonts w:hint="eastAsia" w:ascii="宋体" w:hAnsi="宋体" w:cs="宋体"/>
          <w:color w:val="000000"/>
          <w:szCs w:val="21"/>
          <w:highlight w:val="none"/>
        </w:rPr>
        <w:t xml:space="preserve">供应商的任何错漏、优惠、竞争性报价不得作为减轻责任、减少服务、增加收费、降低质量的理由。</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12.4 供应商应在《开标一览表》、《分项报价表》等标明提供货物和服务的单价、总价以及分项报价。供应商系小企业（含小型、微型企业），并提供本企业制造的货物、承担的工程或者服务，或者提供其他小企业制造的货物，须在《开标一览表》、《分项报价表》中注明。</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13、投标文件的其他部分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13.1 其他部分由供应商根据编制投标文件需要提供的其他相关文件。</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14、投标保证金</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14.1 无需提交投标保证金。</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15、投标有效期</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15.1 自开标之日起</w:t>
      </w:r>
      <w:r>
        <w:rPr>
          <w:rFonts w:hint="eastAsia" w:ascii="宋体" w:hAnsi="宋体" w:cs="宋体"/>
          <w:b/>
          <w:bCs/>
          <w:color w:val="000000"/>
          <w:szCs w:val="21"/>
          <w:highlight w:val="none"/>
        </w:rPr>
        <w:t xml:space="preserve">90</w:t>
      </w:r>
      <w:r>
        <w:rPr>
          <w:rFonts w:hint="eastAsia" w:ascii="宋体" w:hAnsi="宋体" w:cs="宋体"/>
          <w:b/>
          <w:color w:val="000000"/>
          <w:szCs w:val="21"/>
          <w:highlight w:val="none"/>
          <w:lang w:val="zh-CN"/>
        </w:rPr>
        <w:t xml:space="preserve">天</w:t>
      </w:r>
      <w:r>
        <w:rPr>
          <w:rFonts w:hint="eastAsia" w:ascii="宋体" w:hAnsi="宋体" w:cs="宋体"/>
          <w:color w:val="000000"/>
          <w:szCs w:val="21"/>
          <w:highlight w:val="none"/>
          <w:lang w:val="zh-CN"/>
        </w:rPr>
        <w:t xml:space="preserve">内投标有效。</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15.2 在特殊情况下，在原投标有效期截止之前，采购代理机构可要求供应商同意延长投标有效期，这种要求与答复均以书面形式提交。供应商可拒绝这种要求，接受延长投标有效期的供应商将不会要求和允许修正其投标。</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16、投标文件的签署</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16.1 供应商应严格按照采购文件要求制作投标文件并加盖电子公章。</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17、投标文件的提交</w:t>
      </w:r>
      <w:r/>
    </w:p>
    <w:p>
      <w:pPr>
        <w:ind w:firstLine="420"/>
        <w:jc w:val="left"/>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17.1 供应商应当按照《操作手册》规定，在采购公告规定的提交投标文件截止时间前制作并上传投标文件。</w:t>
      </w:r>
      <w:r/>
    </w:p>
    <w:p>
      <w:pPr>
        <w:ind w:firstLine="420"/>
        <w:jc w:val="left"/>
        <w:spacing w:line="460" w:lineRule="exact"/>
        <w:rPr>
          <w:rFonts w:hint="eastAsia" w:ascii="宋体" w:hAnsi="宋体" w:cs="宋体"/>
          <w:bCs/>
          <w:color w:val="000000"/>
          <w:szCs w:val="21"/>
          <w:highlight w:val="non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7.2 供应商应充分考虑网络环境、网络带宽等因素可能对投标产生的影响，如因供应商自身原因造成的投标文件上传不成功的，按照本采购文件第二章第</w:t>
      </w:r>
      <w:r>
        <w:rPr>
          <w:rFonts w:ascii="宋体" w:hAnsi="宋体" w:cs="宋体"/>
          <w:bCs/>
          <w:color w:val="000000"/>
          <w:szCs w:val="21"/>
          <w:highlight w:val="none"/>
        </w:rPr>
        <w:t xml:space="preserve">21.2.</w:t>
      </w:r>
      <w:r>
        <w:rPr>
          <w:rFonts w:hint="eastAsia" w:ascii="宋体" w:hAnsi="宋体" w:cs="宋体"/>
          <w:bCs/>
          <w:color w:val="000000"/>
          <w:szCs w:val="21"/>
          <w:highlight w:val="none"/>
        </w:rPr>
        <w:t xml:space="preserve">3条规定做无效投标处理。</w:t>
      </w:r>
      <w:r/>
    </w:p>
    <w:p>
      <w:pPr>
        <w:ind w:firstLine="420"/>
        <w:spacing w:line="460" w:lineRule="exact"/>
        <w:rPr>
          <w:rFonts w:hint="eastAsia" w:ascii="宋体" w:hAnsi="宋体" w:cs="宋体"/>
          <w:bCs/>
          <w:color w:val="000000"/>
          <w:szCs w:val="21"/>
          <w:highlight w:val="non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7.3 采购代理机构可以按照规定，通过修改采购文件酌情延长提交投标文件截止日期，在此情况下，供应商的所有权利和义务均以延长后新的截止日期为准。</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18、有下列情形之一的投标文件将拒收：</w:t>
      </w:r>
      <w:r/>
    </w:p>
    <w:p>
      <w:pPr>
        <w:ind w:firstLine="420"/>
        <w:spacing w:line="46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18.1 </w:t>
      </w:r>
      <w:r>
        <w:rPr>
          <w:rFonts w:hint="eastAsia" w:ascii="宋体" w:hAnsi="宋体" w:cs="宋体"/>
          <w:color w:val="000000"/>
          <w:szCs w:val="21"/>
          <w:highlight w:val="none"/>
          <w:lang w:val="zh-CN"/>
        </w:rPr>
        <w:t xml:space="preserve">在采购文件要求提交投标文件的截止时间</w:t>
      </w:r>
      <w:r>
        <w:rPr>
          <w:rFonts w:hint="eastAsia" w:ascii="宋体" w:hAnsi="宋体" w:cs="宋体"/>
          <w:bCs/>
          <w:color w:val="000000"/>
          <w:szCs w:val="21"/>
          <w:highlight w:val="none"/>
        </w:rPr>
        <w:t xml:space="preserve">后上传的任何投标文件。</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19、投标文件的修改和撤回</w:t>
      </w:r>
      <w:r/>
    </w:p>
    <w:p>
      <w:pPr>
        <w:ind w:firstLine="420"/>
        <w:spacing w:line="460" w:lineRule="exact"/>
        <w:rPr>
          <w:rFonts w:hint="eastAsia" w:ascii="宋体" w:hAnsi="宋体" w:cs="宋体"/>
          <w:bCs/>
          <w:color w:val="000000"/>
          <w:szCs w:val="21"/>
          <w:highlight w:val="none"/>
        </w:rPr>
      </w:pPr>
      <w:r>
        <w:rPr>
          <w:rFonts w:hint="eastAsia" w:ascii="宋体" w:hAnsi="宋体" w:cs="宋体"/>
          <w:color w:val="000000"/>
          <w:szCs w:val="21"/>
          <w:highlight w:val="none"/>
          <w:lang w:val="zh-CN"/>
        </w:rPr>
        <w:t xml:space="preserve">19.1 供应商在投标截止时间前，可以对所提交的投标文件进行补充、修改或撤回</w:t>
      </w:r>
      <w:r>
        <w:rPr>
          <w:rFonts w:hint="eastAsia" w:ascii="宋体" w:hAnsi="宋体" w:cs="宋体"/>
          <w:bCs/>
          <w:color w:val="000000"/>
          <w:szCs w:val="21"/>
          <w:highlight w:val="none"/>
        </w:rPr>
        <w:t xml:space="preserve">，具体操作方法见《操作手册》。提交投标文件截止时间之后，供应商不得对其投标文件作任何修改。</w:t>
      </w:r>
      <w:r/>
    </w:p>
    <w:p>
      <w:pPr>
        <w:ind w:firstLine="420"/>
        <w:spacing w:line="460" w:lineRule="exact"/>
        <w:rPr>
          <w:rFonts w:hint="eastAsia" w:ascii="宋体" w:hAnsi="宋体" w:cs="宋体"/>
          <w:bCs/>
          <w:color w:val="000000"/>
          <w:szCs w:val="21"/>
          <w:highlight w:val="non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9.</w:t>
      </w:r>
      <w:r>
        <w:rPr>
          <w:rFonts w:ascii="宋体" w:hAnsi="宋体" w:cs="宋体"/>
          <w:bCs/>
          <w:color w:val="000000"/>
          <w:szCs w:val="21"/>
          <w:highlight w:val="none"/>
        </w:rPr>
        <w:t xml:space="preserve">2 </w:t>
      </w:r>
      <w:r>
        <w:rPr>
          <w:rFonts w:hint="eastAsia" w:ascii="宋体" w:hAnsi="宋体" w:cs="宋体"/>
          <w:bCs/>
          <w:color w:val="000000"/>
          <w:szCs w:val="21"/>
          <w:highlight w:val="none"/>
        </w:rPr>
        <w:t xml:space="preserve">在提交投标文件截止时间至采购文件中规定的投标有效期满之间的这段时间内，供应商不得撤回其投标文件。</w:t>
      </w:r>
      <w:r/>
    </w:p>
    <w:p>
      <w:pPr>
        <w:spacing w:line="460" w:lineRule="exact"/>
        <w:rPr>
          <w:rFonts w:hint="eastAsia" w:ascii="宋体" w:hAnsi="宋体" w:cs="宋体"/>
          <w:b/>
          <w:color w:val="000000"/>
          <w:szCs w:val="21"/>
          <w:highlight w:val="none"/>
        </w:rPr>
      </w:pPr>
      <w:r/>
      <w:bookmarkStart w:id="27" w:name="_Toc25047"/>
      <w:r/>
      <w:bookmarkStart w:id="28" w:name="_Toc29284"/>
      <w:r>
        <w:rPr>
          <w:rFonts w:hint="eastAsia" w:ascii="宋体" w:hAnsi="宋体" w:cs="宋体"/>
          <w:b/>
          <w:color w:val="000000"/>
          <w:szCs w:val="21"/>
          <w:highlight w:val="none"/>
        </w:rPr>
        <w:t xml:space="preserve">四、开标、评标与确定中标供应商</w:t>
      </w:r>
      <w:bookmarkEnd w:id="27"/>
      <w:r/>
      <w:bookmarkEnd w:id="28"/>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20、开标</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t xml:space="preserve">0</w:t>
      </w: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 </w:t>
      </w:r>
      <w:r>
        <w:rPr>
          <w:rFonts w:hint="eastAsia" w:ascii="宋体" w:hAnsi="宋体" w:cs="宋体"/>
          <w:bCs/>
          <w:color w:val="000000"/>
          <w:szCs w:val="21"/>
          <w:highlight w:val="none"/>
        </w:rPr>
        <w:t xml:space="preserve">采购代理机构将在招标公告中规定的时间和地点组织开标。供应商应当按照《操作手册》规定，参加开标活动和在苏采云系统规定的时间内对投标文件进行解密。</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t xml:space="preserve">0</w:t>
      </w:r>
      <w:r>
        <w:rPr>
          <w:rFonts w:hint="eastAsia" w:ascii="宋体" w:hAnsi="宋体" w:cs="宋体"/>
          <w:bCs/>
          <w:color w:val="000000"/>
          <w:szCs w:val="21"/>
          <w:highlight w:val="none"/>
        </w:rPr>
        <w:t xml:space="preserve">.2</w:t>
      </w:r>
      <w:r>
        <w:rPr>
          <w:rFonts w:ascii="宋体" w:hAnsi="宋体" w:cs="宋体"/>
          <w:bCs/>
          <w:color w:val="000000"/>
          <w:szCs w:val="21"/>
          <w:highlight w:val="none"/>
        </w:rPr>
        <w:t xml:space="preserve"> </w:t>
      </w:r>
      <w:r>
        <w:rPr>
          <w:rFonts w:hint="eastAsia" w:ascii="宋体" w:hAnsi="宋体" w:cs="宋体"/>
          <w:bCs/>
          <w:color w:val="000000"/>
          <w:szCs w:val="21"/>
          <w:highlight w:val="none"/>
        </w:rPr>
        <w:t xml:space="preserve">开标由采购代理机构组织。苏采云系统将自动对项目进行开标，并宣布各供应商名称和投标价格。</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t xml:space="preserve">0</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 </w:t>
      </w:r>
      <w:r>
        <w:rPr>
          <w:rFonts w:hint="eastAsia" w:ascii="宋体" w:hAnsi="宋体" w:cs="宋体"/>
          <w:bCs/>
          <w:color w:val="000000"/>
          <w:szCs w:val="21"/>
          <w:highlight w:val="none"/>
        </w:rPr>
        <w:t xml:space="preserve">供应商在开标过程中涉及到的投标文件解密、开标结果确认等工作，应按照《操作手册》规定执行。</w:t>
      </w:r>
      <w:r/>
    </w:p>
    <w:p>
      <w:pPr>
        <w:ind w:firstLine="42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t xml:space="preserve">0</w:t>
      </w: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 </w:t>
      </w:r>
      <w:r>
        <w:rPr>
          <w:rFonts w:hint="eastAsia" w:ascii="宋体" w:hAnsi="宋体" w:cs="宋体"/>
          <w:bCs/>
          <w:color w:val="000000"/>
          <w:szCs w:val="21"/>
          <w:highlight w:val="none"/>
        </w:rPr>
        <w:t xml:space="preserve">供应商如果对开标过程和开标记录有疑义，应当根据《操作手册》规定提出，如苏采云系统中《开标记录表》宣布后规定时间内未提出的，视同认可开标结果。</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 供应商不足3家的，不予开标。</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公开招标数额标准以上的采购项目，投标截止后供应商不足3家或者通过资格审查或符合性审查的供应商不足3家的，除采购任务取消情形外，按照以下方式处理：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（1）采购文件存在不合理条款或者采购程序不符合规定的，采购人、采购代理机构改正后依法重新招标；</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20.</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公开招标数额标准以下的采购项目，按照财政主管部门相关规定执行。</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21、评标</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color w:val="000000"/>
          <w:szCs w:val="21"/>
          <w:highlight w:val="none"/>
          <w:lang w:val="zh-CN"/>
        </w:rPr>
        <w:t xml:space="preserve">21.1</w:t>
      </w:r>
      <w:r>
        <w:rPr>
          <w:rFonts w:hint="eastAsia" w:ascii="宋体" w:hAnsi="宋体" w:cs="宋体"/>
          <w:b/>
          <w:bCs/>
          <w:color w:val="000000"/>
          <w:szCs w:val="21"/>
          <w:highlight w:val="none"/>
          <w:lang w:val="zh-CN"/>
        </w:rPr>
        <w:t xml:space="preserve"> 评标组织</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21.1.1评标工作由采购代理机构负责组织，具体评标事务由依法组建的评标委员会负责，并独立履行</w:t>
      </w:r>
      <w:r>
        <w:rPr>
          <w:rFonts w:hint="eastAsia" w:ascii="宋体" w:hAnsi="宋体" w:cs="宋体"/>
          <w:color w:val="000000"/>
          <w:szCs w:val="21"/>
          <w:highlight w:val="none"/>
        </w:rPr>
        <w:t xml:space="preserve">下列职责：</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（1）审查、评价投标文件是否符合采购文件的商务、技术等实质性要求；</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（2）要求供应商对投标文件有关事项作出澄清或者说明；</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（3）对投标文件进行比较和评价；</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（3）根据采购人委托协议直接确定中标人；</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（4）向采购人、财政部门报告评标中发现的违法行为。</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21.2 评标程序</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21.2.1 投标文件的资格审查</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21.2.1.1 </w:t>
      </w:r>
      <w:r>
        <w:rPr>
          <w:rFonts w:hint="eastAsia" w:ascii="宋体" w:hAnsi="宋体" w:cs="宋体"/>
          <w:color w:val="000000"/>
          <w:szCs w:val="21"/>
          <w:highlight w:val="none"/>
        </w:rPr>
        <w:t xml:space="preserve">由</w:t>
      </w:r>
      <w:r>
        <w:rPr>
          <w:rFonts w:hint="eastAsia" w:ascii="宋体" w:hAnsi="宋体" w:cs="宋体"/>
          <w:color w:val="000000"/>
          <w:szCs w:val="21"/>
          <w:highlight w:val="none"/>
          <w:lang w:val="zh-CN"/>
        </w:rPr>
        <w:t xml:space="preserve">评标委员会独立依法对供应商的资格进行审查。</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21.2.1.2 资格性审查：依据法律法规和采购文件的规定，对投标文件中的资格证明文件等进行审查，以确定投标供应商是否具备投标资格。</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000000"/>
          <w:szCs w:val="21"/>
          <w:highlight w:val="none"/>
        </w:rPr>
        <w:t xml:space="preserve">/截图</w:t>
      </w:r>
      <w:r>
        <w:rPr>
          <w:rFonts w:hint="eastAsia" w:ascii="宋体" w:hAnsi="宋体" w:cs="宋体"/>
          <w:color w:val="000000"/>
          <w:szCs w:val="21"/>
          <w:highlight w:val="none"/>
          <w:lang w:val="zh-CN"/>
        </w:rPr>
        <w:t xml:space="preserve">的形式留存并归档。</w:t>
      </w:r>
      <w:r/>
    </w:p>
    <w:p>
      <w:pPr>
        <w:ind w:firstLine="420"/>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21.2.1.4 投标文件有下列情况之一的，在资格性审查时按照无效投标处理：</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（1）不具备采购文件中规定资格条件的；</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供应商被“信用中国”、“中国政府采购网"网站列入失信被执行人、重大税收违法案件当事人名单、政府采购严重违法失信行为记录名单。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21.2.2 投标文件的符合性审查</w:t>
      </w:r>
      <w:r/>
    </w:p>
    <w:p>
      <w:pPr>
        <w:ind w:firstLine="420"/>
        <w:spacing w:line="460" w:lineRule="exact"/>
        <w:rPr>
          <w:rFonts w:hint="eastAsia" w:ascii="宋体" w:hAnsi="宋体" w:cs="宋体"/>
          <w:color w:val="000000"/>
          <w:szCs w:val="21"/>
          <w:highlight w:val="none"/>
          <w:lang w:val="zh-CN"/>
        </w:rPr>
      </w:pPr>
      <w:r>
        <w:rPr>
          <w:rFonts w:hint="eastAsia" w:ascii="宋体" w:hAnsi="宋体" w:cs="宋体"/>
          <w:bCs/>
          <w:color w:val="000000"/>
          <w:szCs w:val="21"/>
          <w:highlight w:val="none"/>
          <w:lang w:val="zh-CN"/>
        </w:rPr>
        <w:t xml:space="preserve">21.2.2.1 </w:t>
      </w:r>
      <w:r>
        <w:rPr>
          <w:rFonts w:hint="eastAsia" w:ascii="宋体" w:hAnsi="宋体" w:cs="宋体"/>
          <w:color w:val="000000"/>
          <w:szCs w:val="21"/>
          <w:highlight w:val="none"/>
          <w:lang w:val="zh-CN"/>
        </w:rPr>
        <w:t xml:space="preserve">评标委员会将依据法律法规和采购文件的规定，对投标文件的有效性、完整性和对采购文件的响应程度进行审查，以确定是否对采购文件的实质性要求作出响应。</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21.2.2.2 实质性要求是指本采购文件中用带星号（“★”）的商务和技术要求。</w:t>
      </w:r>
      <w:r/>
    </w:p>
    <w:p>
      <w:pPr>
        <w:ind w:firstLine="420"/>
        <w:spacing w:line="460" w:lineRule="exact"/>
        <w:rPr>
          <w:rFonts w:hint="eastAsia" w:ascii="宋体" w:hAnsi="宋体" w:cs="宋体"/>
          <w:bCs/>
          <w:color w:val="000000"/>
          <w:szCs w:val="21"/>
          <w:highlight w:val="none"/>
        </w:rPr>
      </w:pPr>
      <w:r>
        <w:rPr>
          <w:rFonts w:hint="eastAsia" w:ascii="宋体" w:hAnsi="宋体" w:cs="宋体"/>
          <w:color w:val="000000"/>
          <w:szCs w:val="21"/>
          <w:highlight w:val="none"/>
          <w:lang w:val="zh-CN"/>
        </w:rPr>
        <w:t xml:space="preserve">21.2.2.3 如果投标文件实质上没有响应采购文件的要求，评标委员会将予以拒绝，</w:t>
      </w:r>
      <w:r>
        <w:rPr>
          <w:rFonts w:hint="eastAsia" w:ascii="宋体" w:hAnsi="宋体" w:cs="宋体"/>
          <w:bCs/>
          <w:color w:val="000000"/>
          <w:szCs w:val="21"/>
          <w:highlight w:val="none"/>
        </w:rPr>
        <w:t xml:space="preserve">供应商不得通过修改或撤销不合要求的偏离或保留而使其投标成为实质性响应的投标。</w:t>
      </w:r>
      <w:r/>
    </w:p>
    <w:p>
      <w:pPr>
        <w:ind w:firstLine="422"/>
        <w:spacing w:line="460" w:lineRule="exact"/>
        <w:rPr>
          <w:rFonts w:hint="eastAsia" w:ascii="宋体" w:hAnsi="宋体" w:cs="宋体"/>
          <w:b/>
          <w:color w:val="000000"/>
          <w:szCs w:val="21"/>
          <w:highlight w:val="none"/>
          <w:lang w:val="zh-CN"/>
        </w:rPr>
      </w:pPr>
      <w:r>
        <w:rPr>
          <w:rFonts w:ascii="宋体" w:hAnsi="宋体" w:cs="宋体"/>
          <w:b/>
          <w:color w:val="000000"/>
          <w:szCs w:val="21"/>
          <w:highlight w:val="none"/>
        </w:rPr>
        <w:t xml:space="preserve">21</w:t>
      </w:r>
      <w:r>
        <w:rPr>
          <w:rFonts w:hint="eastAsia" w:ascii="宋体" w:hAnsi="宋体" w:cs="宋体"/>
          <w:b/>
          <w:color w:val="000000"/>
          <w:szCs w:val="21"/>
          <w:highlight w:val="none"/>
        </w:rPr>
        <w:t xml:space="preserve">.</w:t>
      </w:r>
      <w:r>
        <w:rPr>
          <w:rFonts w:ascii="宋体" w:hAnsi="宋体" w:cs="宋体"/>
          <w:b/>
          <w:color w:val="000000"/>
          <w:szCs w:val="21"/>
          <w:highlight w:val="none"/>
        </w:rPr>
        <w:t xml:space="preserve">2</w:t>
      </w:r>
      <w:r>
        <w:rPr>
          <w:rFonts w:hint="eastAsia" w:ascii="宋体" w:hAnsi="宋体" w:cs="宋体"/>
          <w:b/>
          <w:color w:val="000000"/>
          <w:szCs w:val="21"/>
          <w:highlight w:val="none"/>
        </w:rPr>
        <w:t xml:space="preserve">.</w:t>
      </w:r>
      <w:r>
        <w:rPr>
          <w:rFonts w:ascii="宋体" w:hAnsi="宋体" w:cs="宋体"/>
          <w:b/>
          <w:color w:val="000000"/>
          <w:szCs w:val="21"/>
          <w:highlight w:val="none"/>
        </w:rPr>
        <w:t xml:space="preserve">3 </w:t>
      </w:r>
      <w:r>
        <w:rPr>
          <w:rFonts w:hint="eastAsia" w:ascii="宋体" w:hAnsi="宋体" w:cs="宋体"/>
          <w:b/>
          <w:color w:val="000000"/>
          <w:szCs w:val="21"/>
          <w:highlight w:val="none"/>
          <w:lang w:val="zh-CN"/>
        </w:rPr>
        <w:t xml:space="preserve">投标文件有下列情况之一的，投标无效：</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（1）供应商在苏采云系统规定的时间内未成功解密投标文件；</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（2）未按照采购文件要求上传投标文件；</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）投标文件未按采购文件要求签署、盖章或加盖电子公章的；</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（4）不具备采购文件中规定的资格要求的；</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）报价超过采购文件中规定的预算金额或者最高限价的；</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6</w:t>
      </w:r>
      <w:r>
        <w:rPr>
          <w:rFonts w:hint="eastAsia" w:ascii="宋体" w:hAnsi="宋体" w:cs="宋体"/>
          <w:color w:val="000000"/>
          <w:szCs w:val="21"/>
          <w:highlight w:val="none"/>
          <w:lang w:val="zh-CN"/>
        </w:rPr>
        <w:t xml:space="preserve">）投标文件含有采购人不能接受的附加条件的；</w:t>
      </w:r>
      <w:r/>
    </w:p>
    <w:p>
      <w:pPr>
        <w:ind w:firstLine="42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7</w:t>
      </w:r>
      <w:r>
        <w:rPr>
          <w:rFonts w:hint="eastAsia" w:ascii="宋体" w:hAnsi="宋体" w:cs="宋体"/>
          <w:color w:val="000000"/>
          <w:szCs w:val="21"/>
          <w:highlight w:val="none"/>
          <w:lang w:val="zh-CN"/>
        </w:rPr>
        <w:t xml:space="preserve">）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处理；</w:t>
      </w:r>
      <w:r/>
    </w:p>
    <w:p>
      <w:pPr>
        <w:ind w:firstLine="42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8</w:t>
      </w:r>
      <w:r>
        <w:rPr>
          <w:rFonts w:hint="eastAsia" w:ascii="宋体" w:hAnsi="宋体" w:cs="宋体"/>
          <w:color w:val="000000"/>
          <w:szCs w:val="21"/>
          <w:highlight w:val="none"/>
          <w:lang w:val="zh-CN"/>
        </w:rPr>
        <w:t xml:space="preserve">）不符合法律、法规和采购文件规定的其他无效情形。</w:t>
      </w:r>
      <w:r/>
    </w:p>
    <w:p>
      <w:pPr>
        <w:ind w:firstLine="422"/>
        <w:spacing w:line="460" w:lineRule="exact"/>
        <w:rPr>
          <w:rFonts w:ascii="宋体" w:hAnsi="宋体" w:cs="宋体"/>
          <w:b/>
          <w:bCs/>
          <w:color w:val="000000"/>
          <w:szCs w:val="21"/>
          <w:highlight w:val="none"/>
          <w:lang w:val="zh-CN"/>
        </w:rPr>
      </w:pPr>
      <w:r>
        <w:rPr>
          <w:rFonts w:ascii="宋体" w:hAnsi="宋体" w:cs="宋体"/>
          <w:b/>
          <w:bCs/>
          <w:color w:val="000000"/>
          <w:szCs w:val="21"/>
          <w:highlight w:val="none"/>
          <w:lang w:val="zh-CN"/>
        </w:rPr>
        <w:t xml:space="preserve">21</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t xml:space="preserve">2</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t xml:space="preserve">4</w:t>
      </w:r>
      <w:r>
        <w:rPr>
          <w:rFonts w:hint="eastAsia" w:ascii="宋体" w:hAnsi="宋体" w:cs="宋体"/>
          <w:b/>
          <w:bCs/>
          <w:color w:val="000000"/>
          <w:szCs w:val="21"/>
          <w:highlight w:val="none"/>
          <w:lang w:val="zh-CN"/>
        </w:rPr>
        <w:t xml:space="preserve"> 有下列情形之一的，视为供应商串通投标，其投标无效：</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）不同供应商的投标文件由同一单位或者个人编制；</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）不同供应商委托同一单位或者个人办理投标事宜；</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）不同供应商的投标文件载明的项目管理成员或者联系人员为同一人；</w:t>
      </w:r>
      <w:r/>
    </w:p>
    <w:p>
      <w:pPr>
        <w:ind w:firstLine="420"/>
        <w:jc w:val="left"/>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（4）不同供应商的投标文件异常一致或者投标报价呈规律性差异；</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（5）不同供应商的ip地址、MAC地址、标书制作工具客户端标识码一致的（待系统供应商核查，以核查结果为准）；</w:t>
      </w:r>
      <w:r/>
    </w:p>
    <w:p>
      <w:pPr>
        <w:ind w:firstLine="420"/>
        <w:spacing w:line="460" w:lineRule="exact"/>
        <w:widowControl/>
        <w:rPr>
          <w:rFonts w:hint="eastAsia" w:ascii="宋体" w:hAnsi="宋体" w:cs="宋体"/>
          <w:color w:val="000000"/>
          <w:szCs w:val="21"/>
          <w:highlight w:val="none"/>
          <w:lang w:val="zh-CN"/>
        </w:rPr>
      </w:pPr>
      <w:r>
        <w:rPr>
          <w:rFonts w:ascii="宋体" w:hAnsi="宋体" w:cs="宋体"/>
          <w:b/>
          <w:bCs/>
          <w:color w:val="000000"/>
          <w:szCs w:val="21"/>
          <w:highlight w:val="none"/>
          <w:lang w:val="zh-CN"/>
        </w:rPr>
        <w:t xml:space="preserve">21</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t xml:space="preserve">2</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t xml:space="preserve">5</w:t>
      </w:r>
      <w:r>
        <w:rPr>
          <w:rFonts w:hint="eastAsia" w:ascii="宋体" w:hAnsi="宋体" w:cs="宋体"/>
          <w:b/>
          <w:bCs/>
          <w:color w:val="000000"/>
          <w:szCs w:val="21"/>
          <w:highlight w:val="none"/>
          <w:lang w:val="zh-CN"/>
        </w:rPr>
        <w:t xml:space="preserve"> </w:t>
      </w:r>
      <w:r>
        <w:rPr>
          <w:rFonts w:hint="eastAsia" w:ascii="宋体" w:hAnsi="宋体" w:cs="宋体"/>
          <w:color w:val="000000"/>
          <w:szCs w:val="21"/>
          <w:highlight w:val="none"/>
          <w:lang w:val="zh-CN"/>
        </w:rPr>
        <w:t xml:space="preserve">在评标期间，出现符合专业条件的供应商或者对采购文件作出实质性响应的供应商不足三家情形的，比照20.</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-20.</w:t>
      </w:r>
      <w:r>
        <w:rPr>
          <w:rFonts w:ascii="宋体" w:hAnsi="宋体" w:cs="宋体"/>
          <w:color w:val="000000"/>
          <w:szCs w:val="21"/>
          <w:highlight w:val="none"/>
        </w:rPr>
        <w:t xml:space="preserve">6</w:t>
      </w:r>
      <w:r>
        <w:rPr>
          <w:rFonts w:hint="eastAsia" w:ascii="宋体" w:hAnsi="宋体" w:cs="宋体"/>
          <w:color w:val="000000"/>
          <w:szCs w:val="21"/>
          <w:highlight w:val="none"/>
          <w:lang w:val="zh-CN"/>
        </w:rPr>
        <w:t xml:space="preserve">款执行。</w:t>
      </w:r>
      <w:r/>
    </w:p>
    <w:p>
      <w:pPr>
        <w:ind w:firstLine="422"/>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21.2.</w:t>
      </w:r>
      <w:r>
        <w:rPr>
          <w:rFonts w:ascii="宋体" w:hAnsi="宋体" w:cs="宋体"/>
          <w:b/>
          <w:color w:val="000000"/>
          <w:szCs w:val="21"/>
          <w:highlight w:val="none"/>
          <w:lang w:val="zh-CN"/>
        </w:rPr>
        <w:t xml:space="preserve">6</w:t>
      </w:r>
      <w:r>
        <w:rPr>
          <w:rFonts w:hint="eastAsia" w:ascii="宋体" w:hAnsi="宋体" w:cs="宋体"/>
          <w:b/>
          <w:color w:val="000000"/>
          <w:szCs w:val="21"/>
          <w:highlight w:val="none"/>
          <w:lang w:val="zh-CN"/>
        </w:rPr>
        <w:t xml:space="preserve"> 投标文件的进一步评审</w:t>
      </w:r>
      <w:r/>
    </w:p>
    <w:p>
      <w:pPr>
        <w:ind w:firstLine="420"/>
        <w:spacing w:line="460" w:lineRule="exact"/>
        <w:rPr>
          <w:rFonts w:hint="eastAsia" w:ascii="宋体" w:hAnsi="宋体" w:cs="宋体"/>
          <w:bCs/>
          <w:color w:val="000000"/>
          <w:szCs w:val="21"/>
          <w:highlight w:val="none"/>
        </w:rPr>
      </w:pPr>
      <w:r>
        <w:rPr>
          <w:rFonts w:hint="eastAsia" w:ascii="宋体" w:hAnsi="宋体" w:cs="宋体"/>
          <w:color w:val="000000"/>
          <w:szCs w:val="21"/>
          <w:highlight w:val="none"/>
          <w:lang w:val="zh-CN"/>
        </w:rPr>
        <w:t xml:space="preserve">21.2.</w:t>
      </w:r>
      <w:r>
        <w:rPr>
          <w:rFonts w:ascii="宋体" w:hAnsi="宋体" w:cs="宋体"/>
          <w:color w:val="000000"/>
          <w:szCs w:val="21"/>
          <w:highlight w:val="none"/>
          <w:lang w:val="zh-CN"/>
        </w:rPr>
        <w:t xml:space="preserve">6</w:t>
      </w:r>
      <w:r>
        <w:rPr>
          <w:rFonts w:hint="eastAsia" w:ascii="宋体" w:hAnsi="宋体" w:cs="宋体"/>
          <w:color w:val="000000"/>
          <w:szCs w:val="21"/>
          <w:highlight w:val="none"/>
          <w:lang w:val="zh-CN"/>
        </w:rPr>
        <w:t xml:space="preserve">.1</w:t>
      </w:r>
      <w:r>
        <w:rPr>
          <w:rFonts w:hint="eastAsia" w:ascii="宋体" w:hAnsi="宋体" w:cs="宋体"/>
          <w:bCs/>
          <w:color w:val="000000"/>
          <w:szCs w:val="21"/>
          <w:highlight w:val="none"/>
        </w:rPr>
        <w:t xml:space="preserve">评标委员会将对确定为实质性响应的投标文件进行进一步评审，投标文件报价出现前后不一致的，除采购文件另有规定外，按照下列规定修正：</w:t>
      </w:r>
      <w:r/>
    </w:p>
    <w:p>
      <w:pPr>
        <w:ind w:firstLine="42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（1）投标文件中《开标一览表》、《分项报价表》内容与投标文件中相应内容不一致的，以《开标一览表》、《分项报价表》为准；</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（2）大写金额与小写金额不一致的，以大写金额为准。</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）单价金额小数点或者百分比有明显错位的，以《开标一览表》、《分项报价表》的总价为准，并修改单价；</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）总价金额与按单价汇总金额不一致的，以单价金额计算结果为准；</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）同时出现两种以上不一致的，按照前款规定的顺序修正。修正后的报价由法定代表人或其授权的代表签字确认，确认后产生约束力，供应商不确认的，投标无效。</w:t>
      </w:r>
      <w:r/>
    </w:p>
    <w:p>
      <w:pPr>
        <w:ind w:firstLine="420"/>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（5）对不同文字文本投标文件的解释发生异议的，以中文文本为准。</w:t>
      </w:r>
      <w:r/>
    </w:p>
    <w:p>
      <w:pPr>
        <w:ind w:firstLine="420"/>
        <w:spacing w:line="46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21.2.</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 </w:t>
      </w:r>
      <w:r>
        <w:rPr>
          <w:rFonts w:hint="eastAsia" w:ascii="宋体" w:hAnsi="宋体" w:cs="宋体"/>
          <w:bCs/>
          <w:color w:val="000000"/>
          <w:szCs w:val="21"/>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46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21.2.</w:t>
      </w:r>
      <w:r>
        <w:rPr>
          <w:rFonts w:ascii="宋体" w:hAnsi="宋体" w:cs="宋体"/>
          <w:bCs/>
          <w:color w:val="000000"/>
          <w:szCs w:val="21"/>
          <w:highlight w:val="none"/>
        </w:rPr>
        <w:t xml:space="preserve">6</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 澄清有关问题</w:t>
      </w:r>
      <w:r/>
    </w:p>
    <w:p>
      <w:pPr>
        <w:ind w:firstLine="420"/>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评标期间，评标委员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标委员会并非对全部供应商都做澄清要求。</w:t>
      </w:r>
      <w:r/>
    </w:p>
    <w:p>
      <w:pPr>
        <w:ind w:firstLine="420"/>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需要供应商进行澄清、说明和补正的，评标委员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0"/>
        <w:spacing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（3）接到评标委员会澄清、说明和补正要求的供应商如未按规定做出澄清、说明和补正，其风险由供应商自行承担。</w:t>
      </w:r>
      <w:r/>
    </w:p>
    <w:p>
      <w:pPr>
        <w:ind w:firstLine="420"/>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21.2.</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 比较与评价</w:t>
      </w:r>
      <w:r/>
    </w:p>
    <w:p>
      <w:pPr>
        <w:ind w:firstLine="420"/>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按照采购文件中规定的评标方法和标准，对资格性检查和符合性检查合格的投标文件进行商务和技术评估，综合比较与评价。</w:t>
      </w:r>
      <w:r/>
    </w:p>
    <w:p>
      <w:pPr>
        <w:ind w:firstLine="422"/>
        <w:spacing w:line="46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21.2.</w:t>
      </w:r>
      <w:r>
        <w:rPr>
          <w:rFonts w:ascii="宋体" w:hAnsi="宋体" w:cs="宋体"/>
          <w:b/>
          <w:bCs/>
          <w:color w:val="000000"/>
          <w:szCs w:val="21"/>
          <w:highlight w:val="none"/>
          <w:lang w:val="zh-CN"/>
        </w:rPr>
        <w:t xml:space="preserve">7</w:t>
      </w:r>
      <w:r>
        <w:rPr>
          <w:rFonts w:hint="eastAsia" w:ascii="宋体" w:hAnsi="宋体" w:cs="宋体"/>
          <w:b/>
          <w:bCs/>
          <w:color w:val="000000"/>
          <w:szCs w:val="21"/>
          <w:highlight w:val="none"/>
          <w:lang w:val="zh-CN"/>
        </w:rPr>
        <w:t xml:space="preserve"> 有下列情形之一的予以废标，同时将废标理由通知所有供应商</w:t>
      </w:r>
      <w:r>
        <w:rPr>
          <w:rFonts w:hint="eastAsia" w:ascii="宋体" w:hAnsi="宋体" w:cs="宋体"/>
          <w:color w:val="000000"/>
          <w:szCs w:val="21"/>
          <w:highlight w:val="none"/>
          <w:lang w:val="zh-CN"/>
        </w:rPr>
        <w:t xml:space="preserve">：</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（1）符合专业条件的供应商或者对采购文件作实质性响应的供应商不足三家的；</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（2）出现影响采购公正的违法、违规行为的；</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（3）供应商的报价均超过了采购预算或最高限价的，采购人不能支付的；</w:t>
      </w:r>
      <w:r/>
    </w:p>
    <w:p>
      <w:pPr>
        <w:ind w:firstLine="420"/>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r/>
    </w:p>
    <w:p>
      <w:pPr>
        <w:ind w:firstLine="420"/>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（5）投标文件存在歧义、重大缺陷，或者采购文件内容违反国家有关强制性规定的。</w:t>
      </w:r>
      <w:r/>
    </w:p>
    <w:p>
      <w:pPr>
        <w:ind w:firstLine="420"/>
        <w:spacing w:line="460" w:lineRule="exact"/>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21.3 评标方法和标准</w:t>
      </w:r>
      <w:r/>
    </w:p>
    <w:p>
      <w:pPr>
        <w:ind w:firstLine="420"/>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21.3.1 采用综合评分法。综合评分法是指投标文件满足采购文件全部实质性要求，且按照采购文件中规定评审因素量化指标评审</w:t>
      </w:r>
      <w:bookmarkStart w:id="29" w:name="_Hlk176874978"/>
      <w:r>
        <w:rPr>
          <w:rFonts w:hint="eastAsia" w:ascii="宋体" w:hAnsi="宋体" w:cs="宋体"/>
          <w:color w:val="000000"/>
          <w:szCs w:val="21"/>
          <w:highlight w:val="none"/>
          <w:lang w:val="zh-CN"/>
        </w:rPr>
        <w:t xml:space="preserve">得分最高</w:t>
      </w:r>
      <w:bookmarkEnd w:id="29"/>
      <w:r>
        <w:rPr>
          <w:rFonts w:hint="eastAsia" w:ascii="宋体" w:hAnsi="宋体" w:cs="宋体"/>
          <w:color w:val="000000"/>
          <w:szCs w:val="21"/>
          <w:highlight w:val="none"/>
          <w:lang w:val="zh-CN"/>
        </w:rPr>
        <w:t xml:space="preserve">的供应商为中标候选人的评标方法。具体评分标准详见采购文件“第三章 评标标准”。</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22、确定中标供应商</w:t>
      </w:r>
      <w:r/>
    </w:p>
    <w:p>
      <w:pPr>
        <w:ind w:firstLine="420"/>
        <w:spacing w:line="46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22.1 </w:t>
      </w:r>
      <w:r>
        <w:rPr>
          <w:rFonts w:hint="eastAsia" w:ascii="宋体" w:hAnsi="宋体" w:eastAsia="宋体" w:cs="宋体"/>
          <w:color w:val="000000"/>
          <w:szCs w:val="21"/>
          <w:highlight w:val="none"/>
          <w:lang w:val="zh-CN"/>
        </w:rPr>
        <w:t xml:space="preserve">评标委员会对质量和服务均能满足采购文件实质性要求的供应商，综合比较与评价后按照得分高低顺序对供应商进行排列。评审得分相同的，按照最后报价由低到高顺序排列。评审得分且最后报价相同的，按技术指标优劣顺序排列。响应文件满足采购文件全部实质性要求且按照评审因素的量化指标评审得分最高的供应商为排名第一的中标供应商，经采购人授权，评标委员会将综合排名第一的</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lang w:val="zh-CN"/>
        </w:rPr>
        <w:t xml:space="preserve">候选供应商确定为中标供应商。</w:t>
      </w:r>
      <w:r/>
    </w:p>
    <w:p>
      <w:pPr>
        <w:ind w:firstLine="42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 中标供应商确定之日起2个工作日内，将在财政部门指定的政府采购信息发布媒体上公告</w:t>
      </w:r>
      <w:r>
        <w:rPr>
          <w:rFonts w:ascii="宋体" w:hAnsi="宋体" w:cs="宋体"/>
          <w:color w:val="000000"/>
          <w:szCs w:val="21"/>
          <w:highlight w:val="none"/>
        </w:rPr>
        <w:t xml:space="preserve">中标结果</w:t>
      </w:r>
      <w:r>
        <w:rPr>
          <w:rFonts w:hint="eastAsia" w:ascii="宋体" w:hAnsi="宋体" w:cs="宋体"/>
          <w:color w:val="000000"/>
          <w:szCs w:val="21"/>
          <w:highlight w:val="none"/>
          <w:lang w:val="zh-CN"/>
        </w:rPr>
        <w:t xml:space="preserve">，中标供应商应及时到</w:t>
      </w:r>
      <w:r>
        <w:rPr>
          <w:rFonts w:ascii="宋体" w:hAnsi="宋体" w:cs="宋体"/>
          <w:color w:val="000000"/>
          <w:szCs w:val="21"/>
          <w:highlight w:val="none"/>
        </w:rPr>
        <w:t xml:space="preserve">采购代理机构</w:t>
      </w:r>
      <w:r>
        <w:rPr>
          <w:rFonts w:hint="eastAsia" w:ascii="宋体" w:hAnsi="宋体" w:cs="宋体"/>
          <w:color w:val="000000"/>
          <w:szCs w:val="21"/>
          <w:highlight w:val="none"/>
          <w:lang w:val="zh-CN"/>
        </w:rPr>
        <w:t xml:space="preserve">领取《中标通知书》。</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22.3 中标通知书对采购人和中标供应商具有同等法律效力。</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22.4 </w:t>
      </w:r>
      <w:r>
        <w:rPr>
          <w:rFonts w:hint="eastAsia" w:ascii="宋体" w:hAnsi="宋体" w:cs="宋体"/>
          <w:color w:val="000000"/>
          <w:szCs w:val="21"/>
          <w:highlight w:val="none"/>
        </w:rPr>
        <w:t xml:space="preserve">中标通知书发出后，中标供应商无正当理由不与采购人签订合同的，情节严重的，由财政部门将其列入不良行为记录名单，在一至三年内禁止参加南京市政府采购活动，并予以通报。</w:t>
      </w:r>
      <w:r/>
    </w:p>
    <w:p>
      <w:pPr>
        <w:ind w:firstLine="420"/>
        <w:spacing w:line="460" w:lineRule="exact"/>
        <w:tabs>
          <w:tab w:val="left" w:pos="12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22.5 </w:t>
      </w:r>
      <w:r>
        <w:rPr>
          <w:rFonts w:hint="eastAsia" w:ascii="宋体" w:hAnsi="宋体" w:cs="宋体"/>
          <w:color w:val="000000"/>
          <w:szCs w:val="21"/>
          <w:highlight w:val="none"/>
          <w:lang w:val="zh-CN"/>
        </w:rPr>
        <w:t xml:space="preserve">采购代理机构和评标委员会</w:t>
      </w:r>
      <w:r>
        <w:rPr>
          <w:rFonts w:hint="eastAsia" w:ascii="宋体" w:hAnsi="宋体" w:cs="宋体"/>
          <w:color w:val="000000"/>
          <w:szCs w:val="21"/>
          <w:highlight w:val="none"/>
        </w:rPr>
        <w:t xml:space="preserve">对未中标的供应商不作未中标原因的解释。</w:t>
      </w:r>
      <w:r/>
    </w:p>
    <w:p>
      <w:pPr>
        <w:ind w:firstLine="413"/>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23</w:t>
      </w:r>
      <w:r>
        <w:rPr>
          <w:rFonts w:hint="eastAsia" w:ascii="宋体" w:hAnsi="宋体" w:cs="宋体"/>
          <w:b/>
          <w:bCs/>
          <w:color w:val="000000"/>
          <w:szCs w:val="21"/>
          <w:highlight w:val="none"/>
          <w:lang w:val="zh-CN"/>
        </w:rPr>
        <w:t xml:space="preserve">、</w:t>
      </w:r>
      <w:r>
        <w:rPr>
          <w:rFonts w:hint="eastAsia" w:ascii="宋体" w:hAnsi="宋体" w:cs="宋体"/>
          <w:b/>
          <w:color w:val="000000"/>
          <w:szCs w:val="21"/>
          <w:highlight w:val="none"/>
        </w:rPr>
        <w:t xml:space="preserve">评标</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23.1 本项目评标活动在江苏政府采购网“苏采云系统”进行。</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24、评标过程的保密性</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24.1 采购代理机构将采取必要措施，保证评标在严格保密的情况下进行。</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24.2 任何单位和个人不得非法干预、影响评标办法的确定，以及评标过程和结果。</w:t>
      </w:r>
      <w:r/>
    </w:p>
    <w:p>
      <w:pPr>
        <w:ind w:firstLine="420"/>
        <w:spacing w:line="460" w:lineRule="exact"/>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24.3 凡是与审查、澄清、评价和比较投标的有关资料等，均不向供应商及与评标无关的其他人员透露。</w:t>
      </w:r>
      <w:r/>
    </w:p>
    <w:p>
      <w:pPr>
        <w:spacing w:line="460" w:lineRule="exact"/>
        <w:rPr>
          <w:rFonts w:hint="eastAsia" w:ascii="宋体" w:hAnsi="宋体" w:cs="宋体"/>
          <w:b/>
          <w:color w:val="000000"/>
          <w:szCs w:val="21"/>
          <w:highlight w:val="none"/>
        </w:rPr>
      </w:pPr>
      <w:r/>
      <w:bookmarkStart w:id="30" w:name="_Toc28778"/>
      <w:r/>
      <w:bookmarkStart w:id="31" w:name="_Toc27897"/>
      <w:r>
        <w:rPr>
          <w:rFonts w:hint="eastAsia" w:ascii="宋体" w:hAnsi="宋体" w:cs="宋体"/>
          <w:b/>
          <w:color w:val="000000"/>
          <w:szCs w:val="21"/>
          <w:highlight w:val="none"/>
        </w:rPr>
        <w:t xml:space="preserve">五、签订合同</w:t>
      </w:r>
      <w:bookmarkEnd w:id="30"/>
      <w:r/>
      <w:bookmarkEnd w:id="31"/>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25、签订合同</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25.1 采购人应当自中标通知书发出之日起30日内，按照采购文件和中标供应商投标文件的规定与中标供应商签订书面合同。所签订的合同不得对采购文件确定事项和中标供应商投标文件作实质性修改。</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25.2</w:t>
      </w:r>
      <w:r>
        <w:rPr>
          <w:rFonts w:hint="eastAsia" w:ascii="宋体" w:hAnsi="宋体" w:cs="宋体"/>
          <w:color w:val="000000"/>
          <w:szCs w:val="21"/>
          <w:highlight w:val="none"/>
        </w:rPr>
        <w:t xml:space="preserve">采购人不得向中标</w:t>
      </w: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提出任何不合理的要求作为签订合同的条件，不得与中标</w:t>
      </w:r>
      <w:r>
        <w:rPr>
          <w:rFonts w:hint="eastAsia" w:ascii="宋体" w:hAnsi="宋体" w:cs="宋体"/>
          <w:color w:val="000000"/>
          <w:szCs w:val="21"/>
          <w:highlight w:val="none"/>
          <w:lang w:val="zh-CN"/>
        </w:rPr>
        <w:t xml:space="preserve">供应商</w:t>
      </w:r>
      <w:r>
        <w:rPr>
          <w:rFonts w:hint="eastAsia" w:ascii="宋体" w:hAnsi="宋体" w:cs="宋体"/>
          <w:color w:val="000000"/>
          <w:szCs w:val="21"/>
          <w:highlight w:val="none"/>
        </w:rPr>
        <w:t xml:space="preserve">私下订立背离合同实质性内容的协议。</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25.3 中标供应商拒绝与采购人签订合同，或因不可抗力或者自身原因不能履行政府采购合同的，采购人可以按照评审报告中的得分高低顺序，确定下一顺序供应商为中标人，也可以重新开展政府采购活动。</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spacing w:line="460" w:lineRule="exact"/>
        <w:rPr>
          <w:rFonts w:hint="eastAsia" w:ascii="宋体" w:hAnsi="宋体" w:cs="宋体"/>
          <w:b/>
          <w:color w:val="000000"/>
          <w:szCs w:val="21"/>
          <w:highlight w:val="none"/>
        </w:rPr>
      </w:pPr>
      <w:r/>
      <w:bookmarkStart w:id="32" w:name="_Toc24260"/>
      <w:r/>
      <w:bookmarkStart w:id="33" w:name="_Toc10775"/>
      <w:r>
        <w:rPr>
          <w:rFonts w:hint="eastAsia" w:ascii="宋体" w:hAnsi="宋体" w:cs="宋体"/>
          <w:b/>
          <w:color w:val="000000"/>
          <w:szCs w:val="21"/>
          <w:highlight w:val="none"/>
        </w:rPr>
        <w:t xml:space="preserve">六、询问、质疑、投诉和诚实信用</w:t>
      </w:r>
      <w:bookmarkEnd w:id="32"/>
      <w:r/>
      <w:bookmarkEnd w:id="33"/>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26、询问</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26.1 供应商对采购活动事项有疑问的，可以向采购代理机构或采购人提出询问，采购代理机构或采购人将在两个工作日内作出答复，但答复的内容不涉及商业秘密</w:t>
      </w:r>
      <w:r>
        <w:rPr>
          <w:rFonts w:hint="eastAsia" w:ascii="宋体" w:hAnsi="宋体" w:cs="宋体"/>
          <w:b/>
          <w:color w:val="000000"/>
          <w:szCs w:val="21"/>
          <w:highlight w:val="none"/>
          <w:lang w:val="zh-CN"/>
        </w:rPr>
        <w:t xml:space="preserve">。</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27、质疑</w:t>
      </w:r>
      <w:r/>
    </w:p>
    <w:p>
      <w:pPr>
        <w:ind w:firstLine="420"/>
        <w:spacing w:line="460" w:lineRule="exact"/>
        <w:rPr>
          <w:rFonts w:hint="eastAsia" w:ascii="宋体" w:hAnsi="宋体" w:cs="宋体"/>
          <w:b/>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.1 供应商对招标活动事项有疑问的，可以向采购代理机构提出询问，采购代理机构将依法作出答复，但答复的内容不涉及商业秘密。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.2 供应商认为采购文件、采购过程和成交结果使自己的合法权益受到损害的，可以在知道或者应当知道其权益受到损害之日起七个工作日内，将质疑文件原件送达采购代理机构。</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.3 质疑文件应包括以下主要内容，并</w:t>
      </w:r>
      <w:r>
        <w:rPr>
          <w:rFonts w:hint="eastAsia" w:ascii="宋体" w:hAnsi="宋体" w:cs="宋体"/>
          <w:color w:val="000000"/>
          <w:szCs w:val="21"/>
          <w:highlight w:val="none"/>
        </w:rPr>
        <w:t xml:space="preserve">按照“谁主张、谁举证”的原则，附上相关证明材料。否则，不予受理：</w:t>
      </w:r>
      <w:r/>
    </w:p>
    <w:p>
      <w:pPr>
        <w:ind w:left="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（1）质疑项目名称、项目编号、包号、采购公告发布时间、开标时间；</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（2）具体的质疑事项及法律依据（具体条款）；</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（3）质疑相关证明文件或证明材料；</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（4）质疑供应商名称、地址、联系方式</w:t>
      </w:r>
      <w:r>
        <w:rPr>
          <w:rFonts w:hint="eastAsia" w:ascii="宋体" w:hAnsi="宋体" w:cs="宋体"/>
          <w:color w:val="000000"/>
          <w:szCs w:val="21"/>
          <w:highlight w:val="none"/>
        </w:rPr>
        <w:t xml:space="preserve">（包括手机、传真号码）</w:t>
      </w:r>
      <w:r>
        <w:rPr>
          <w:rFonts w:hint="eastAsia" w:ascii="宋体" w:hAnsi="宋体" w:cs="宋体"/>
          <w:color w:val="000000"/>
          <w:szCs w:val="21"/>
          <w:highlight w:val="none"/>
          <w:lang w:val="zh-CN"/>
        </w:rPr>
        <w:t xml:space="preserve">；</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（5）法定代表人</w:t>
      </w:r>
      <w:r>
        <w:rPr>
          <w:rFonts w:hint="eastAsia" w:ascii="宋体" w:hAnsi="宋体" w:cs="宋体"/>
          <w:color w:val="000000"/>
          <w:szCs w:val="21"/>
          <w:highlight w:val="none"/>
        </w:rPr>
        <w:t xml:space="preserve">签署本人姓名或印盖本人姓名章并加盖单位公章，</w:t>
      </w:r>
      <w:r>
        <w:rPr>
          <w:rFonts w:hint="eastAsia" w:ascii="宋体" w:hAnsi="宋体" w:cs="宋体"/>
          <w:color w:val="000000"/>
          <w:szCs w:val="21"/>
          <w:highlight w:val="none"/>
          <w:lang w:val="zh-CN"/>
        </w:rPr>
        <w:t xml:space="preserve">或</w:t>
      </w:r>
      <w:r>
        <w:rPr>
          <w:rFonts w:hint="eastAsia" w:ascii="宋体" w:hAnsi="宋体" w:cs="Trebuchet MS"/>
          <w:bCs/>
          <w:color w:val="000000"/>
          <w:szCs w:val="21"/>
          <w:highlight w:val="none"/>
          <w:shd w:val="clear" w:color="auto" w:fill="ffffff"/>
        </w:rPr>
        <w:t xml:space="preserve">法定代表人授权委托代理人加盖单位公章，并</w:t>
      </w:r>
      <w:r>
        <w:rPr>
          <w:rFonts w:hint="eastAsia" w:ascii="宋体" w:hAnsi="宋体" w:cs="宋体"/>
          <w:color w:val="000000"/>
          <w:szCs w:val="21"/>
          <w:highlight w:val="none"/>
        </w:rPr>
        <w:t xml:space="preserve">由参加采购项目的</w:t>
      </w:r>
      <w:r>
        <w:rPr>
          <w:rFonts w:hint="eastAsia" w:ascii="宋体" w:hAnsi="宋体" w:cs="宋体"/>
          <w:color w:val="000000"/>
          <w:szCs w:val="21"/>
          <w:highlight w:val="none"/>
          <w:lang w:val="zh-CN"/>
        </w:rPr>
        <w:t xml:space="preserve">授权委托代理人</w:t>
      </w:r>
      <w:r>
        <w:rPr>
          <w:rFonts w:hint="eastAsia" w:ascii="宋体" w:hAnsi="宋体" w:cs="宋体"/>
          <w:color w:val="000000"/>
          <w:szCs w:val="21"/>
          <w:highlight w:val="none"/>
        </w:rPr>
        <w:t xml:space="preserve">签署本人姓名或印盖本人姓名章</w:t>
      </w:r>
      <w:r>
        <w:rPr>
          <w:rFonts w:hint="eastAsia" w:ascii="宋体" w:hAnsi="宋体" w:cs="宋体"/>
          <w:color w:val="000000"/>
          <w:szCs w:val="21"/>
          <w:highlight w:val="none"/>
          <w:lang w:val="zh-CN"/>
        </w:rPr>
        <w:t xml:space="preserve">等。</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.4 供应商不得虚假质疑和恶意质疑，并对质疑内容的真实性承担责任。</w:t>
      </w:r>
      <w:r>
        <w:rPr>
          <w:rFonts w:hint="eastAsia" w:ascii="宋体" w:hAnsi="宋体" w:cs="宋体"/>
          <w:color w:val="000000"/>
          <w:szCs w:val="21"/>
          <w:highlight w:val="none"/>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20"/>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27.5</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采购代理机构在收到供应商的书面质疑后将及时组织调查核实，在</w:t>
      </w:r>
      <w:r>
        <w:rPr>
          <w:rFonts w:hint="eastAsia" w:ascii="宋体" w:hAnsi="宋体" w:cs="宋体"/>
          <w:b/>
          <w:bCs/>
          <w:color w:val="000000"/>
          <w:szCs w:val="21"/>
          <w:highlight w:val="none"/>
          <w:lang w:val="zh-CN"/>
        </w:rPr>
        <w:t xml:space="preserve">七个工作日内</w:t>
      </w:r>
      <w:r>
        <w:rPr>
          <w:rFonts w:hint="eastAsia" w:ascii="宋体" w:hAnsi="宋体" w:cs="宋体"/>
          <w:color w:val="000000"/>
          <w:szCs w:val="21"/>
          <w:highlight w:val="none"/>
          <w:lang w:val="zh-CN"/>
        </w:rPr>
        <w:t xml:space="preserve">作出答复，并以书面或在网站公告形式通知质疑供应商和其他有关供应商，答复的内容不涉及商业秘密。采购</w:t>
      </w:r>
      <w:r>
        <w:rPr>
          <w:rFonts w:hint="eastAsia" w:ascii="宋体" w:hAnsi="宋体" w:cs="宋体"/>
          <w:color w:val="000000"/>
          <w:szCs w:val="21"/>
          <w:highlight w:val="none"/>
        </w:rPr>
        <w:t xml:space="preserve">代理机构遵循“谁过错谁负担”的原则，有过错的一方承担调查论证费用。</w:t>
      </w:r>
      <w:r/>
    </w:p>
    <w:p>
      <w:pPr>
        <w:ind w:firstLine="420"/>
        <w:spacing w:line="46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val="zh-CN"/>
        </w:rPr>
        <w:t xml:space="preserve">28、投诉</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 质疑供应商对采购</w:t>
      </w:r>
      <w:r>
        <w:rPr>
          <w:rFonts w:hint="eastAsia" w:ascii="宋体" w:hAnsi="宋体" w:cs="Trebuchet MS"/>
          <w:bCs/>
          <w:color w:val="000000"/>
          <w:szCs w:val="21"/>
          <w:highlight w:val="none"/>
          <w:shd w:val="clear" w:color="auto" w:fill="ffffff"/>
        </w:rPr>
        <w:t xml:space="preserve">单位或采购</w:t>
      </w:r>
      <w:r>
        <w:rPr>
          <w:rFonts w:hint="eastAsia" w:ascii="宋体" w:hAnsi="宋体" w:cs="宋体"/>
          <w:color w:val="000000"/>
          <w:szCs w:val="21"/>
          <w:highlight w:val="none"/>
          <w:lang w:val="zh-CN"/>
        </w:rPr>
        <w:t xml:space="preserve">代理</w:t>
      </w:r>
      <w:r>
        <w:rPr>
          <w:rFonts w:hint="eastAsia" w:ascii="宋体" w:hAnsi="宋体" w:cs="Trebuchet MS"/>
          <w:bCs/>
          <w:color w:val="000000"/>
          <w:szCs w:val="21"/>
          <w:highlight w:val="none"/>
          <w:shd w:val="clear" w:color="auto" w:fill="ffffff"/>
        </w:rPr>
        <w:t xml:space="preserve">机构</w:t>
      </w:r>
      <w:r>
        <w:rPr>
          <w:rFonts w:hint="eastAsia" w:ascii="宋体" w:hAnsi="宋体" w:cs="宋体"/>
          <w:color w:val="000000"/>
          <w:szCs w:val="21"/>
          <w:highlight w:val="none"/>
          <w:lang w:val="zh-CN"/>
        </w:rPr>
        <w:t xml:space="preserve">的答复不满意，或采购</w:t>
      </w:r>
      <w:r>
        <w:rPr>
          <w:rFonts w:hint="eastAsia" w:ascii="宋体" w:hAnsi="宋体" w:cs="Trebuchet MS"/>
          <w:bCs/>
          <w:color w:val="000000"/>
          <w:szCs w:val="21"/>
          <w:highlight w:val="none"/>
          <w:shd w:val="clear" w:color="auto" w:fill="ffffff"/>
        </w:rPr>
        <w:t xml:space="preserve">单位或采购</w:t>
      </w:r>
      <w:r>
        <w:rPr>
          <w:rFonts w:hint="eastAsia" w:ascii="宋体" w:hAnsi="宋体" w:cs="宋体"/>
          <w:color w:val="000000"/>
          <w:szCs w:val="21"/>
          <w:highlight w:val="none"/>
          <w:lang w:val="zh-CN"/>
        </w:rPr>
        <w:t xml:space="preserve">代理</w:t>
      </w:r>
      <w:r>
        <w:rPr>
          <w:rFonts w:hint="eastAsia" w:ascii="宋体" w:hAnsi="宋体" w:cs="Trebuchet MS"/>
          <w:bCs/>
          <w:color w:val="000000"/>
          <w:szCs w:val="21"/>
          <w:highlight w:val="none"/>
          <w:shd w:val="clear" w:color="auto" w:fill="ffffff"/>
        </w:rPr>
        <w:t xml:space="preserve">机构</w:t>
      </w:r>
      <w:r>
        <w:rPr>
          <w:rFonts w:hint="eastAsia" w:ascii="宋体" w:hAnsi="宋体" w:cs="宋体"/>
          <w:color w:val="000000"/>
          <w:szCs w:val="21"/>
          <w:highlight w:val="none"/>
          <w:lang w:val="zh-CN"/>
        </w:rPr>
        <w:t xml:space="preserve">未在规定的时间内作出答复的，可以在答复期满后</w:t>
      </w:r>
      <w:r>
        <w:rPr>
          <w:rFonts w:hint="eastAsia" w:ascii="宋体" w:hAnsi="宋体" w:cs="宋体"/>
          <w:b/>
          <w:bCs/>
          <w:color w:val="000000"/>
          <w:szCs w:val="21"/>
          <w:highlight w:val="none"/>
          <w:lang w:val="zh-CN"/>
        </w:rPr>
        <w:t xml:space="preserve">十五个工作日内</w:t>
      </w:r>
      <w:r>
        <w:rPr>
          <w:rFonts w:hint="eastAsia" w:ascii="宋体" w:hAnsi="宋体" w:cs="宋体"/>
          <w:color w:val="000000"/>
          <w:szCs w:val="21"/>
          <w:highlight w:val="none"/>
          <w:lang w:val="zh-CN"/>
        </w:rPr>
        <w:t xml:space="preserve">向采购项目同级政府采购监督管理部门投诉。</w:t>
      </w:r>
      <w:r/>
    </w:p>
    <w:p>
      <w:pPr>
        <w:ind w:firstLine="420"/>
        <w:spacing w:line="4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29、诚实信用</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29.1 供应商之间不得相互串通投标报价，不得妨碍其他供应商的公平竞争，不得损害采购人和其他供应商的合法权益。</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29.2 供应商不得以向采购代理工作人员、评标委员会成员行贿或者采取其他不正当手段谋取中标。经查实供应商有此行为的，</w:t>
      </w:r>
      <w:r>
        <w:rPr>
          <w:rFonts w:hint="eastAsia" w:ascii="宋体" w:hAnsi="宋体" w:cs="宋体"/>
          <w:color w:val="000000"/>
          <w:szCs w:val="21"/>
          <w:highlight w:val="none"/>
        </w:rPr>
        <w:t xml:space="preserve">政府采购管理部门将供应商列入不良行为记录名单，按照《政府采购法》有关规定处理。</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29.3 供应商提出书面质疑必须有理、有据，不得虚假质疑和恶意质疑，并对质疑内容的真实性承担责任。一经查实，采购代理机构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21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质疑文件应包括以下主要内容，并按照</w:t>
      </w:r>
      <w:r>
        <w:rPr>
          <w:rFonts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谁主张、谁举证</w:t>
      </w:r>
      <w:r>
        <w:rPr>
          <w:rFonts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的原则，附上相关证明材料。否则，采购代理机构不予受理：</w:t>
      </w:r>
      <w:r/>
    </w:p>
    <w:p>
      <w:pPr>
        <w:ind w:firstLine="240"/>
        <w:spacing w:line="460" w:lineRule="exact"/>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）质疑供应商的姓名或者名称、地址、邮编、联系人及联系电话；</w:t>
      </w:r>
      <w:r/>
    </w:p>
    <w:p>
      <w:pPr>
        <w:ind w:firstLine="240"/>
        <w:spacing w:line="460" w:lineRule="exact"/>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）质疑项目的名称、编号、公告发布时间、开标时间；</w:t>
      </w:r>
      <w:r/>
    </w:p>
    <w:p>
      <w:pPr>
        <w:ind w:firstLine="240"/>
        <w:spacing w:line="460" w:lineRule="exact"/>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）具体、明确的质疑事项和与质疑事项相关的请求；</w:t>
      </w:r>
      <w:r/>
    </w:p>
    <w:p>
      <w:pPr>
        <w:ind w:firstLine="240"/>
        <w:spacing w:line="460" w:lineRule="exact"/>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4</w:t>
      </w:r>
      <w:r>
        <w:rPr>
          <w:rFonts w:hint="eastAsia" w:ascii="宋体" w:hAnsi="宋体" w:cs="宋体"/>
          <w:color w:val="000000"/>
          <w:szCs w:val="21"/>
          <w:highlight w:val="none"/>
          <w:lang w:val="zh-CN"/>
        </w:rPr>
        <w:t xml:space="preserve">）事实依据；</w:t>
      </w:r>
      <w:r/>
    </w:p>
    <w:p>
      <w:pPr>
        <w:ind w:firstLine="240"/>
        <w:spacing w:line="460" w:lineRule="exact"/>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）必要的法律依据；</w:t>
      </w:r>
      <w:r/>
    </w:p>
    <w:p>
      <w:pPr>
        <w:ind w:firstLine="240"/>
        <w:spacing w:line="460" w:lineRule="exact"/>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6</w:t>
      </w:r>
      <w:r>
        <w:rPr>
          <w:rFonts w:hint="eastAsia" w:ascii="宋体" w:hAnsi="宋体" w:cs="宋体"/>
          <w:color w:val="000000"/>
          <w:szCs w:val="21"/>
          <w:highlight w:val="none"/>
          <w:lang w:val="zh-CN"/>
        </w:rPr>
        <w:t xml:space="preserve">）提出质疑的日期；</w:t>
      </w:r>
      <w:r/>
    </w:p>
    <w:p>
      <w:pPr>
        <w:ind w:firstLine="240"/>
        <w:spacing w:line="460" w:lineRule="exact"/>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7</w:t>
      </w:r>
      <w:r>
        <w:rPr>
          <w:rFonts w:hint="eastAsia" w:ascii="宋体" w:hAnsi="宋体" w:cs="宋体"/>
          <w:color w:val="000000"/>
          <w:szCs w:val="21"/>
          <w:highlight w:val="none"/>
          <w:lang w:val="zh-CN"/>
        </w:rPr>
        <w:t xml:space="preserve">）质疑供应商可以委托代理人进行质疑和投诉。其授权委托书应当载明代理人的姓名或者名称、代理事项、具体权限、期限和相关事项，代理人提出质疑和投诉，应当提交质疑供应商签署的授权委托书；</w:t>
      </w:r>
      <w:r/>
    </w:p>
    <w:p>
      <w:pPr>
        <w:ind w:firstLine="240"/>
        <w:spacing w:line="460" w:lineRule="exact"/>
        <w:shd w:val="clear" w:color="auto" w:fill="ffffff"/>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8</w:t>
      </w:r>
      <w:r>
        <w:rPr>
          <w:rFonts w:hint="eastAsia" w:ascii="宋体" w:hAnsi="宋体" w:cs="宋体"/>
          <w:color w:val="000000"/>
          <w:szCs w:val="21"/>
          <w:highlight w:val="none"/>
          <w:lang w:val="zh-CN"/>
        </w:rPr>
        <w:t xml:space="preserve">）质疑供应商为自然人的，应当由本人签字；供应商为法人或者其他组织的，应当由法定代表人、主要负责人，或者其授权代表签字或者盖章，并加盖公章。</w:t>
      </w:r>
      <w:r/>
    </w:p>
    <w:p>
      <w:pPr>
        <w:ind w:firstLine="42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29.4 供应商不得虚假承诺，否则，按照提供虚假材料谋取中标成交处理。</w:t>
      </w:r>
      <w:r/>
    </w:p>
    <w:p>
      <w:pPr>
        <w:ind w:firstLine="42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ind w:firstLine="720"/>
        <w:jc w:val="center"/>
        <w:spacing w:line="460" w:lineRule="exact"/>
        <w:rPr>
          <w:rFonts w:hint="eastAsia" w:ascii="宋体" w:hAnsi="宋体" w:cs="宋体"/>
          <w:b/>
          <w:bCs/>
          <w:color w:val="000000"/>
          <w:sz w:val="36"/>
          <w:szCs w:val="36"/>
          <w:highlight w:val="none"/>
          <w:lang w:val="zh-CN"/>
        </w:rPr>
      </w:pPr>
      <w:r>
        <w:rPr>
          <w:rFonts w:ascii="宋体" w:hAnsi="宋体" w:cs="宋体"/>
          <w:color w:val="000000"/>
          <w:sz w:val="36"/>
          <w:szCs w:val="36"/>
          <w:highlight w:val="none"/>
          <w:lang w:val="zh-CN"/>
        </w:rPr>
        <w:br w:type="page" w:clear="all"/>
      </w:r>
      <w:bookmarkStart w:id="34" w:name="_Toc6717"/>
      <w:r/>
      <w:bookmarkStart w:id="35" w:name="_Toc16769"/>
      <w:r/>
      <w:bookmarkStart w:id="36" w:name="_Toc16325"/>
      <w:r>
        <w:rPr>
          <w:rFonts w:hint="eastAsia" w:ascii="宋体" w:hAnsi="宋体" w:cs="宋体"/>
          <w:b/>
          <w:bCs/>
          <w:color w:val="000000"/>
          <w:sz w:val="36"/>
          <w:szCs w:val="36"/>
          <w:highlight w:val="none"/>
          <w:lang w:val="zh-CN"/>
        </w:rPr>
        <w:t xml:space="preserve">第三章 评标标准</w:t>
      </w:r>
      <w:bookmarkEnd w:id="34"/>
      <w:r/>
      <w:bookmarkEnd w:id="35"/>
      <w:r/>
      <w:bookmarkEnd w:id="36"/>
      <w:r/>
      <w:r/>
    </w:p>
    <w:p>
      <w:pPr>
        <w:numPr>
          <w:ilvl w:val="0"/>
          <w:numId w:val="1"/>
        </w:numPr>
        <w:spacing w:line="4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采用综合评分法</w:t>
      </w:r>
      <w:r/>
    </w:p>
    <w:p>
      <w:pPr>
        <w:spacing w:line="240" w:lineRule="auto"/>
        <w:rPr>
          <w:rFonts w:hint="eastAsia" w:ascii="宋体" w:hAnsi="宋体"/>
          <w:b/>
          <w:color w:val="000000"/>
          <w:szCs w:val="21"/>
          <w:highlight w:val="none"/>
          <w:lang w:val="zh-CN"/>
        </w:rPr>
      </w:pPr>
      <w:r>
        <w:rPr>
          <w:rFonts w:hint="eastAsia" w:ascii="宋体" w:hAnsi="宋体" w:cs="宋体"/>
          <w:color w:val="000000"/>
          <w:sz w:val="22"/>
          <w:highlight w:val="none"/>
        </w:rPr>
        <w:t xml:space="preserve">评标委员会对质量和货物和服务均能满足招标文件实质性要求的供应商，</w:t>
      </w:r>
      <w:r>
        <w:rPr>
          <w:rFonts w:hint="eastAsia" w:ascii="宋体" w:hAnsi="宋体" w:cs="宋体"/>
          <w:color w:val="000000"/>
          <w:sz w:val="22"/>
          <w:highlight w:val="none"/>
          <w:lang w:val="zh-CN"/>
        </w:rPr>
        <w:t xml:space="preserve">评标委员会对质量和服务均能满足采购文件实质性要求的供应商，综合比较与评价后按照得分高低顺序对供应商进行排列。评审得分相同的，按照最后报价由低到高顺序排列。评审得分且最后报价相同的，按技术指标优劣顺序排列。响应文件满足采购文件全部实质性要求且按照评审因素的量化指标评审得分最高的供应商为排名第一的中标供应商，经采购人授权，评标委员会将综合排名第一的</w:t>
      </w:r>
      <w:r>
        <w:rPr>
          <w:rFonts w:hint="eastAsia" w:ascii="宋体" w:hAnsi="宋体" w:cs="宋体"/>
          <w:color w:val="000000"/>
          <w:sz w:val="22"/>
          <w:highlight w:val="none"/>
        </w:rPr>
        <w:t xml:space="preserve">中标</w:t>
      </w:r>
      <w:r>
        <w:rPr>
          <w:rFonts w:hint="eastAsia" w:ascii="宋体" w:hAnsi="宋体" w:cs="宋体"/>
          <w:color w:val="000000"/>
          <w:sz w:val="22"/>
          <w:highlight w:val="none"/>
          <w:lang w:val="zh-CN"/>
        </w:rPr>
        <w:t xml:space="preserve">候选供应商确定为中标供应商</w:t>
      </w:r>
      <w:r>
        <w:rPr>
          <w:rFonts w:hint="eastAsia" w:ascii="宋体" w:hAnsi="宋体"/>
          <w:b/>
          <w:color w:val="000000"/>
          <w:szCs w:val="21"/>
          <w:highlight w:val="none"/>
          <w:lang w:val="zh-CN"/>
        </w:rPr>
        <w:t xml:space="preserve">。</w:t>
      </w:r>
      <w:r/>
    </w:p>
    <w:p>
      <w:pPr>
        <w:spacing w:line="460" w:lineRule="exact"/>
        <w:rPr>
          <w:rFonts w:ascii="宋体" w:hAnsi="宋体" w:cs="宋体"/>
          <w:b/>
          <w:bCs/>
          <w:color w:val="000000"/>
          <w:szCs w:val="21"/>
          <w:highlight w:val="none"/>
        </w:rPr>
      </w:pPr>
      <w:r>
        <w:rPr>
          <w:rFonts w:ascii="宋体" w:hAnsi="宋体" w:cs="宋体"/>
          <w:b/>
          <w:bCs/>
          <w:color w:val="000000"/>
          <w:szCs w:val="21"/>
          <w:highlight w:val="none"/>
        </w:rPr>
        <w:t xml:space="preserve">二</w:t>
      </w:r>
      <w:r>
        <w:rPr>
          <w:rFonts w:hint="eastAsia" w:ascii="宋体" w:hAnsi="宋体" w:cs="宋体"/>
          <w:b/>
          <w:bCs/>
          <w:color w:val="000000"/>
          <w:szCs w:val="21"/>
          <w:highlight w:val="none"/>
        </w:rPr>
        <w:t xml:space="preserve">、</w:t>
      </w:r>
      <w:r>
        <w:rPr>
          <w:rFonts w:ascii="宋体" w:hAnsi="宋体" w:cs="宋体"/>
          <w:b/>
          <w:bCs/>
          <w:color w:val="000000"/>
          <w:szCs w:val="21"/>
          <w:highlight w:val="none"/>
        </w:rPr>
        <w:t xml:space="preserve">综合评分法评审细则</w:t>
      </w:r>
      <w:bookmarkStart w:id="37" w:name="_Toc479586164"/>
      <w:r/>
      <w:bookmarkEnd w:id="37"/>
      <w:r/>
      <w:bookmarkStart w:id="38" w:name="_Toc25530"/>
      <w:r/>
      <w:bookmarkStart w:id="39" w:name="_Toc8691"/>
      <w:r/>
      <w:bookmarkStart w:id="40" w:name="_Toc8160"/>
      <w:r/>
      <w:r/>
    </w:p>
    <w:tbl>
      <w:tblPr>
        <w:tblStyle w:val="699"/>
        <w:tblW w:w="10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116"/>
        <w:gridCol w:w="8091"/>
        <w:gridCol w:w="775"/>
      </w:tblGrid>
      <w:tr>
        <w:trPr>
          <w:jc w:val="center"/>
          <w:trHeight w:val="270"/>
        </w:trPr>
        <w:tc>
          <w:tcPr>
            <w:tcW w:w="719" w:type="dxa"/>
            <w:vAlign w:val="center"/>
            <w:textDirection w:val="lrTb"/>
            <w:noWrap w:val="false"/>
          </w:tcPr>
          <w:p>
            <w:pPr>
              <w:pStyle w:val="911"/>
              <w:jc w:val="center"/>
              <w:spacing w:before="0" w:beforeAutospacing="0" w:after="0" w:afterAutospacing="0"/>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序号</w:t>
            </w:r>
            <w:r/>
          </w:p>
        </w:tc>
        <w:tc>
          <w:tcPr>
            <w:tcW w:w="1116" w:type="dxa"/>
            <w:vAlign w:val="center"/>
            <w:textDirection w:val="lrTb"/>
            <w:noWrap w:val="false"/>
          </w:tcPr>
          <w:p>
            <w:pPr>
              <w:pStyle w:val="911"/>
              <w:jc w:val="center"/>
              <w:spacing w:before="0" w:beforeAutospacing="0" w:after="0" w:afterAutospacing="0"/>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评分因素</w:t>
            </w:r>
            <w:r/>
          </w:p>
        </w:tc>
        <w:tc>
          <w:tcPr>
            <w:tcW w:w="8091" w:type="dxa"/>
            <w:vAlign w:val="center"/>
            <w:textDirection w:val="lrTb"/>
            <w:noWrap w:val="false"/>
          </w:tcPr>
          <w:p>
            <w:pPr>
              <w:pStyle w:val="911"/>
              <w:jc w:val="center"/>
              <w:spacing w:before="0" w:beforeAutospacing="0" w:after="0" w:afterAutospacing="0"/>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评审规则</w:t>
            </w:r>
            <w:r/>
          </w:p>
        </w:tc>
        <w:tc>
          <w:tcPr>
            <w:tcW w:w="775" w:type="dxa"/>
            <w:vAlign w:val="center"/>
            <w:textDirection w:val="lrTb"/>
            <w:noWrap w:val="false"/>
          </w:tcPr>
          <w:p>
            <w:pPr>
              <w:pStyle w:val="911"/>
              <w:jc w:val="center"/>
              <w:spacing w:before="0" w:beforeAutospacing="0" w:after="0" w:afterAutospacing="0"/>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分值</w:t>
            </w:r>
            <w:r/>
          </w:p>
        </w:tc>
      </w:tr>
      <w:tr>
        <w:trPr>
          <w:jc w:val="center"/>
          <w:trHeight w:val="1318"/>
        </w:trPr>
        <w:tc>
          <w:tcPr>
            <w:tcW w:w="719" w:type="dxa"/>
            <w:vAlign w:val="center"/>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p>
        </w:tc>
        <w:tc>
          <w:tcPr>
            <w:tcW w:w="1116" w:type="dxa"/>
            <w:vAlign w:val="center"/>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w:t>
            </w:r>
            <w:r/>
          </w:p>
          <w:p>
            <w:pPr>
              <w:pStyle w:val="911"/>
              <w:jc w:val="center"/>
              <w:spacing w:before="0" w:beforeAutospacing="0" w:after="0" w:afterAutospacing="0"/>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eastAsia="zh-CN"/>
              </w:rPr>
              <w:t xml:space="preserve">）</w:t>
            </w:r>
            <w:r/>
          </w:p>
        </w:tc>
        <w:tc>
          <w:tcPr>
            <w:tcW w:w="8091" w:type="dxa"/>
            <w:vAlign w:val="center"/>
            <w:textDirection w:val="lrTb"/>
            <w:noWrap w:val="false"/>
          </w:tcPr>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（小数点保留两位）。</w:t>
            </w:r>
            <w:r/>
          </w:p>
        </w:tc>
        <w:tc>
          <w:tcPr>
            <w:tcW w:w="775" w:type="dxa"/>
            <w:vAlign w:val="center"/>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10</w:t>
            </w:r>
            <w:r/>
          </w:p>
        </w:tc>
      </w:tr>
      <w:tr>
        <w:trPr>
          <w:jc w:val="center"/>
          <w:trHeight w:val="348"/>
        </w:trPr>
        <w:tc>
          <w:tcPr>
            <w:tcW w:w="719" w:type="dxa"/>
            <w:vAlign w:val="center"/>
            <w:vMerge w:val="restart"/>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p>
        </w:tc>
        <w:tc>
          <w:tcPr>
            <w:tcW w:w="1116" w:type="dxa"/>
            <w:vAlign w:val="center"/>
            <w:vMerge w:val="restart"/>
            <w:textDirection w:val="lrTb"/>
            <w:noWrap w:val="false"/>
          </w:tcPr>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服务方案</w:t>
            </w:r>
            <w:r/>
          </w:p>
          <w:p>
            <w:pPr>
              <w:numPr>
                <w:ilvl w:val="0"/>
                <w:numId w:val="0"/>
              </w:numPr>
              <w:jc w:val="center"/>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（61分）</w:t>
            </w:r>
            <w:r/>
          </w:p>
        </w:tc>
        <w:tc>
          <w:tcPr>
            <w:tcW w:w="8091" w:type="dxa"/>
            <w:vAlign w:val="center"/>
            <w:textDirection w:val="lrTb"/>
            <w:noWrap w:val="false"/>
          </w:tcPr>
          <w:p>
            <w:pPr>
              <w:numPr>
                <w:ilvl w:val="0"/>
                <w:numId w:val="0"/>
              </w:numPr>
              <w:jc w:val="both"/>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2.1总实施方案（包括但不限于总体部署、实施计划、工作内容、技术规范、协调机制等）的针对性、完整性以及可实施性进行综合评审；</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实施方案完整详尽，有明确的响应和针对性，可实施性强的得13分；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实施方案较完整详尽，有较明确的响应和针对性，可实施性较强的得10分；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实施方案基本完整，针对性和可实施性一般的得7分；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实施方案有缺漏，针对性和可实施性差的得4分； 未提供的不得分。</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p>
        </w:tc>
      </w:tr>
      <w:tr>
        <w:trPr>
          <w:jc w:val="center"/>
          <w:trHeight w:val="1570"/>
        </w:trPr>
        <w:tc>
          <w:tcPr>
            <w:tcW w:w="719" w:type="dxa"/>
            <w:vAlign w:val="center"/>
            <w:vMerge w:val="continue"/>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116" w:type="dxa"/>
            <w:vAlign w:val="center"/>
            <w:vMerge w:val="continue"/>
            <w:textDirection w:val="lrTb"/>
            <w:noWrap w:val="false"/>
          </w:tcPr>
          <w:p>
            <w:pPr>
              <w:numPr>
                <w:ilvl w:val="0"/>
                <w:numId w:val="0"/>
              </w:numPr>
              <w:ind w:firstLine="420"/>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091" w:type="dxa"/>
            <w:vAlign w:val="center"/>
            <w:textDirection w:val="lrTb"/>
            <w:noWrap w:val="false"/>
          </w:tcPr>
          <w:p>
            <w:pPr>
              <w:numPr>
                <w:ilvl w:val="0"/>
                <w:numId w:val="0"/>
              </w:numPr>
              <w:jc w:val="both"/>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2.2重点、难点分析及合理化建议（包括但不限于监督考核工作的重难点分析、进出水水质监测工作的重难点分析以及合理化建议）针对性、完整性进行综合评审；</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重难点分析及合理化建议全面、合理、针对性强的得12分；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重难点分析及合理化建议基本全面、合理、针对性较强的得9分；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重难点分析及合理化建议较为简单，针对性一般的得6分；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重难点分析及合理化建议存在缺漏，针对性差的得3分；未提供的不得分。</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r>
      <w:tr>
        <w:trPr>
          <w:jc w:val="center"/>
          <w:trHeight w:val="240"/>
        </w:trPr>
        <w:tc>
          <w:tcPr>
            <w:tcW w:w="719" w:type="dxa"/>
            <w:vAlign w:val="center"/>
            <w:vMerge w:val="continue"/>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116" w:type="dxa"/>
            <w:vAlign w:val="center"/>
            <w:vMerge w:val="continue"/>
            <w:textDirection w:val="lrTb"/>
            <w:noWrap w:val="false"/>
          </w:tcPr>
          <w:p>
            <w:pPr>
              <w:numPr>
                <w:ilvl w:val="0"/>
                <w:numId w:val="0"/>
              </w:numPr>
              <w:ind w:firstLine="420"/>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091" w:type="dxa"/>
            <w:vAlign w:val="center"/>
            <w:textDirection w:val="lrTb"/>
            <w:noWrap w:val="false"/>
          </w:tcPr>
          <w:p>
            <w:pPr>
              <w:numPr>
                <w:ilvl w:val="0"/>
                <w:numId w:val="0"/>
              </w:numPr>
              <w:jc w:val="both"/>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2.3监管和考核制定情况，包括人员安排、巡查记录、考核方案等具体工作步骤进行综合评审；</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监管和考核制定情况，人员安排合理、工作步骤、考核方案详细，针对性、可操作性强的得12分；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监管和考核制定情况，人员安排较合理、工作步骤、考核方案较详细，针对性、可操作性较强的得9分；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方案制定内容一般的，针对性、可操作性一般的得6分；</w:t>
            </w:r>
            <w:r/>
          </w:p>
          <w:p>
            <w:pPr>
              <w:pStyle w:val="979"/>
              <w:ind w:left="0"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总体方案较差，内容欠缺、针对性、可操作性差的得3分；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未提供的不得分。</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r>
      <w:tr>
        <w:trPr>
          <w:jc w:val="center"/>
          <w:trHeight w:val="240"/>
        </w:trPr>
        <w:tc>
          <w:tcPr>
            <w:tcW w:w="719" w:type="dxa"/>
            <w:vAlign w:val="center"/>
            <w:vMerge w:val="continue"/>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116" w:type="dxa"/>
            <w:vAlign w:val="center"/>
            <w:vMerge w:val="continue"/>
            <w:textDirection w:val="lrTb"/>
            <w:noWrap w:val="false"/>
          </w:tcPr>
          <w:p>
            <w:pPr>
              <w:numPr>
                <w:ilvl w:val="0"/>
                <w:numId w:val="0"/>
              </w:numPr>
              <w:ind w:firstLine="420"/>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091" w:type="dxa"/>
            <w:vAlign w:val="center"/>
            <w:textDirection w:val="lrTb"/>
            <w:noWrap w:val="false"/>
          </w:tcPr>
          <w:p>
            <w:pPr>
              <w:numPr>
                <w:ilvl w:val="0"/>
                <w:numId w:val="0"/>
              </w:numPr>
              <w:jc w:val="both"/>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2.4质量保证措施、进度安排、后续服务进行综合评审；</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质量保证措施、进度安排科学、合理、操作性强，后续期间的服务内容完整可行、保证措施完全可靠的得12分；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质量保证措施、进度安排基本科学、操作性及后续期间的服务内容可行、保证措施可行的得9分；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质量保证措施、进度安排一般，操作性及后续期间的服务内容一般、保证措施一般的得6分；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质量保证措施、进度安排，后续期间的服务内容总体欠缺，保证措施合理性较差的得3分；</w:t>
            </w:r>
            <w:r/>
          </w:p>
          <w:p>
            <w:pPr>
              <w:numPr>
                <w:ilvl w:val="0"/>
                <w:numId w:val="0"/>
              </w:numPr>
              <w:ind w:left="0" w:firstLine="0"/>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未提供的不得分。</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r>
      <w:tr>
        <w:trPr>
          <w:jc w:val="center"/>
          <w:trHeight w:val="240"/>
        </w:trPr>
        <w:tc>
          <w:tcPr>
            <w:tcW w:w="719" w:type="dxa"/>
            <w:vAlign w:val="center"/>
            <w:textDirection w:val="lrTb"/>
            <w:noWrap w:val="false"/>
          </w:tcPr>
          <w:p>
            <w:pPr>
              <w:pStyle w:val="911"/>
              <w:jc w:val="center"/>
              <w:spacing w:before="0" w:beforeAutospacing="0" w:after="0" w:afterAutospacing="0"/>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116" w:type="dxa"/>
            <w:vAlign w:val="center"/>
            <w:vMerge w:val="continue"/>
            <w:textDirection w:val="lrTb"/>
            <w:noWrap w:val="false"/>
          </w:tcPr>
          <w:p>
            <w:pPr>
              <w:numPr>
                <w:ilvl w:val="0"/>
                <w:numId w:val="0"/>
              </w:numPr>
              <w:ind w:firstLine="420"/>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091" w:type="dxa"/>
            <w:vAlign w:val="center"/>
            <w:textDirection w:val="lrTb"/>
            <w:noWrap w:val="false"/>
          </w:tcPr>
          <w:p>
            <w:pPr>
              <w:contextualSpacing/>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2.5</w:t>
            </w:r>
            <w:r>
              <w:rPr>
                <w:rFonts w:hint="eastAsia" w:ascii="宋体" w:hAnsi="宋体" w:eastAsia="宋体" w:cs="宋体"/>
                <w:b/>
                <w:bCs/>
                <w:color w:val="000000"/>
                <w:sz w:val="21"/>
                <w:szCs w:val="21"/>
                <w:highlight w:val="none"/>
              </w:rPr>
              <w:t xml:space="preserve">档案资料管理</w:t>
            </w:r>
            <w:r>
              <w:rPr>
                <w:rFonts w:hint="eastAsia" w:ascii="宋体" w:hAnsi="宋体" w:eastAsia="宋体" w:cs="宋体"/>
                <w:b/>
                <w:bCs/>
                <w:color w:val="000000"/>
                <w:sz w:val="21"/>
                <w:szCs w:val="21"/>
                <w:highlight w:val="none"/>
                <w:lang w:eastAsia="zh-CN"/>
              </w:rPr>
              <w:t xml:space="preserve">；</w:t>
            </w:r>
            <w:r/>
          </w:p>
          <w:p>
            <w:pPr>
              <w:contextualSpacing/>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有完备的项目档案资料管理制度，建立、收集、保存等流程健全</w:t>
            </w:r>
            <w:r>
              <w:rPr>
                <w:rFonts w:hint="eastAsia" w:ascii="宋体" w:hAnsi="宋体"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规范，有完善的档案移交步骤的得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p>
            <w:pPr>
              <w:contextualSpacing/>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有项目档案资料管理制度，建立、收集、保存等流程</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健全，有档案移交步骤的得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numPr>
                <w:ilvl w:val="0"/>
                <w:numId w:val="0"/>
              </w:numPr>
              <w:jc w:val="both"/>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有项目档案资料管理制度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但</w:t>
            </w:r>
            <w:r>
              <w:rPr>
                <w:rFonts w:hint="eastAsia" w:ascii="宋体" w:hAnsi="宋体" w:eastAsia="宋体" w:cs="宋体"/>
                <w:color w:val="000000"/>
                <w:sz w:val="21"/>
                <w:szCs w:val="21"/>
                <w:highlight w:val="none"/>
              </w:rPr>
              <w:t xml:space="preserve">建立、收集、保存、移交等流程不健全</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numPr>
                <w:ilvl w:val="0"/>
                <w:numId w:val="0"/>
              </w:numPr>
              <w:jc w:val="both"/>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项目档案资料管理制度</w:t>
            </w:r>
            <w:r>
              <w:rPr>
                <w:rFonts w:hint="eastAsia" w:ascii="宋体" w:hAnsi="宋体" w:eastAsia="宋体" w:cs="宋体"/>
                <w:color w:val="000000"/>
                <w:sz w:val="21"/>
                <w:szCs w:val="21"/>
                <w:highlight w:val="none"/>
                <w:lang w:val="en-US" w:eastAsia="zh-CN"/>
              </w:rPr>
              <w:t xml:space="preserve">差的得3分。</w:t>
            </w:r>
            <w:r/>
          </w:p>
          <w:p>
            <w:pPr>
              <w:numPr>
                <w:ilvl w:val="0"/>
                <w:numId w:val="0"/>
              </w:numPr>
              <w:jc w:val="both"/>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未提供的不得分。</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r>
      <w:tr>
        <w:trPr>
          <w:jc w:val="center"/>
          <w:trHeight w:val="240"/>
        </w:trPr>
        <w:tc>
          <w:tcPr>
            <w:tcW w:w="719" w:type="dxa"/>
            <w:vAlign w:val="center"/>
            <w:vMerge w:val="restart"/>
            <w:textDirection w:val="lrTb"/>
            <w:noWrap w:val="false"/>
          </w:tcPr>
          <w:p>
            <w:pPr>
              <w:pStyle w:val="911"/>
              <w:jc w:val="center"/>
              <w:spacing w:before="0" w:beforeAutospacing="0" w:after="0" w:afterAutospacing="0"/>
              <w:tabs>
                <w:tab w:val="left" w:pos="22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p>
          <w:p>
            <w:pPr>
              <w:jc w:val="center"/>
              <w:tabs>
                <w:tab w:val="left" w:pos="22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116" w:type="dxa"/>
            <w:vAlign w:val="center"/>
            <w:vMerge w:val="restart"/>
            <w:textDirection w:val="lrTb"/>
            <w:noWrap w:val="false"/>
          </w:tcPr>
          <w:p>
            <w:pPr>
              <w:jc w:val="cente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人员配置</w:t>
            </w:r>
            <w:r/>
          </w:p>
          <w:p>
            <w:pPr>
              <w:jc w:val="cente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（19分）</w:t>
            </w:r>
            <w:r/>
          </w:p>
        </w:tc>
        <w:tc>
          <w:tcPr>
            <w:tcW w:w="8091" w:type="dxa"/>
            <w:vAlign w:val="center"/>
            <w:textDirection w:val="lrTb"/>
            <w:noWrap w:val="false"/>
          </w:tcPr>
          <w:p>
            <w:pPr>
              <w:pStyle w:val="979"/>
              <w:numPr>
                <w:ilvl w:val="0"/>
                <w:numId w:val="0"/>
              </w:numPr>
              <w:tabs>
                <w:tab w:val="left" w:pos="22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3.1</w:t>
            </w:r>
            <w:r>
              <w:rPr>
                <w:rFonts w:hint="eastAsia" w:ascii="宋体" w:hAnsi="宋体" w:eastAsia="宋体" w:cs="宋体"/>
                <w:b/>
                <w:bCs w:val="0"/>
                <w:color w:val="000000"/>
                <w:sz w:val="21"/>
                <w:szCs w:val="21"/>
                <w:highlight w:val="none"/>
              </w:rPr>
              <w:t xml:space="preserve">拟投入项目负责人：</w:t>
            </w:r>
            <w:r/>
          </w:p>
          <w:p>
            <w:pPr>
              <w:numPr>
                <w:ilvl w:val="0"/>
                <w:numId w:val="2"/>
              </w:numPr>
              <w:tabs>
                <w:tab w:val="left" w:pos="2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项目负责人具有国家注册监理工程师且注册专业为</w:t>
            </w:r>
            <w:r>
              <w:rPr>
                <w:rFonts w:hint="eastAsia" w:ascii="宋体" w:hAnsi="宋体" w:eastAsia="宋体" w:cs="宋体"/>
                <w:bCs/>
                <w:color w:val="000000"/>
                <w:sz w:val="21"/>
                <w:szCs w:val="21"/>
                <w:highlight w:val="none"/>
                <w:lang w:val="en-US" w:eastAsia="zh-CN"/>
              </w:rPr>
              <w:t xml:space="preserve">市政公用</w:t>
            </w:r>
            <w:r>
              <w:rPr>
                <w:rFonts w:hint="eastAsia" w:ascii="宋体" w:hAnsi="宋体" w:eastAsia="宋体" w:cs="宋体"/>
                <w:bCs/>
                <w:color w:val="000000"/>
                <w:sz w:val="21"/>
                <w:szCs w:val="21"/>
                <w:highlight w:val="none"/>
              </w:rPr>
              <w:t xml:space="preserve">工程的得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p>
          <w:p>
            <w:pPr>
              <w:numPr>
                <w:ilvl w:val="0"/>
                <w:numId w:val="2"/>
              </w:numPr>
              <w:tabs>
                <w:tab w:val="left" w:pos="22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项目负责人具有建设工程类高级工程师及以上职称的得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具有建设工程类中级工程师职称的得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满分</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p>
          <w:p>
            <w:pPr>
              <w:tabs>
                <w:tab w:val="left" w:pos="220" w:leader="none"/>
              </w:tabs>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w:t>
            </w:r>
            <w:r/>
          </w:p>
          <w:p>
            <w:pPr>
              <w:tabs>
                <w:tab w:val="left" w:pos="22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lang w:val="en-US" w:eastAsia="zh-CN"/>
              </w:rPr>
              <w:t xml:space="preserve">须</w:t>
            </w:r>
            <w:r>
              <w:rPr>
                <w:rFonts w:hint="eastAsia" w:ascii="宋体" w:hAnsi="宋体" w:eastAsia="宋体" w:cs="宋体"/>
                <w:bCs/>
                <w:color w:val="000000"/>
                <w:sz w:val="21"/>
                <w:szCs w:val="21"/>
                <w:highlight w:val="none"/>
              </w:rPr>
              <w:t xml:space="preserve">提供项目负责人注册证书、职称证书扫描</w:t>
            </w:r>
            <w:r>
              <w:rPr>
                <w:rFonts w:hint="eastAsia" w:ascii="宋体" w:hAnsi="宋体" w:eastAsia="宋体" w:cs="宋体"/>
                <w:bCs/>
                <w:color w:val="000000"/>
                <w:sz w:val="21"/>
                <w:szCs w:val="21"/>
                <w:highlight w:val="none"/>
                <w:lang w:val="en-US" w:eastAsia="zh-CN"/>
              </w:rPr>
              <w:t xml:space="preserve">件并加盖电子公章</w:t>
            </w:r>
            <w:r>
              <w:rPr>
                <w:rFonts w:hint="eastAsia" w:ascii="宋体" w:hAnsi="宋体" w:eastAsia="宋体" w:cs="宋体"/>
                <w:bCs/>
                <w:color w:val="000000"/>
                <w:sz w:val="21"/>
                <w:szCs w:val="21"/>
                <w:highlight w:val="none"/>
              </w:rPr>
              <w:t xml:space="preserve">上传至</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lang w:eastAsia="zh-CN"/>
              </w:rPr>
              <w:t xml:space="preserve">。</w:t>
            </w:r>
            <w:r/>
          </w:p>
          <w:p>
            <w:pP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②</w:t>
            </w:r>
            <w:r>
              <w:rPr>
                <w:rFonts w:ascii="Times New Roman" w:hAnsi="Times New Roman" w:cs="Times New Roman"/>
                <w:bCs/>
                <w:color w:val="000000"/>
                <w:szCs w:val="21"/>
              </w:rPr>
              <w:t xml:space="preserve">以上人员要求供应商须在响应文件中提供</w:t>
            </w:r>
            <w:r>
              <w:rPr>
                <w:rFonts w:hint="eastAsia" w:ascii="宋体" w:hAnsi="宋体" w:eastAsia="宋体" w:cs="宋体"/>
                <w:b w:val="0"/>
                <w:bCs w:val="0"/>
                <w:sz w:val="21"/>
                <w:szCs w:val="21"/>
                <w:lang w:val="zh-CN" w:eastAsia="zh-CN"/>
              </w:rPr>
              <w:t xml:space="preserve">社保机构出具的近半年（2025年5月至2025年10月）中任意一月供应商为其缴纳的养老保险缴费证明（需明确缴费月份、个人姓名、缴费单位）材料并加盖社保中心章或社保中心参保缴费证明电子专用章及有效期内的劳动合同</w:t>
            </w:r>
            <w:r>
              <w:rPr>
                <w:rFonts w:hint="eastAsia" w:ascii="宋体" w:hAnsi="宋体" w:eastAsia="宋体" w:cs="宋体"/>
                <w:b w:val="0"/>
                <w:bCs w:val="0"/>
                <w:sz w:val="21"/>
                <w:szCs w:val="21"/>
                <w:lang w:eastAsia="zh-CN"/>
              </w:rPr>
              <w:t xml:space="preserve">及有效期内的劳动合同</w:t>
            </w:r>
            <w:r>
              <w:rPr>
                <w:rFonts w:hint="eastAsia" w:ascii="宋体" w:hAnsi="宋体" w:cs="宋体"/>
                <w:b w:val="0"/>
                <w:bCs w:val="0"/>
                <w:sz w:val="21"/>
                <w:szCs w:val="21"/>
                <w:lang w:eastAsia="zh-CN"/>
              </w:rPr>
              <w:t xml:space="preserve">，</w:t>
            </w:r>
            <w:r>
              <w:rPr>
                <w:rFonts w:hint="eastAsia" w:ascii="宋体" w:hAnsi="宋体" w:eastAsia="宋体" w:cs="宋体"/>
                <w:color w:val="000000"/>
                <w:sz w:val="22"/>
                <w:szCs w:val="22"/>
                <w:highlight w:val="none"/>
              </w:rPr>
              <w:t xml:space="preserve">若</w:t>
            </w:r>
            <w:r>
              <w:rPr>
                <w:rFonts w:hint="eastAsia" w:cs="宋体"/>
                <w:color w:val="000000"/>
                <w:sz w:val="22"/>
                <w:szCs w:val="22"/>
                <w:highlight w:val="none"/>
                <w:lang w:val="en-US" w:eastAsia="zh-CN"/>
              </w:rPr>
              <w:t xml:space="preserve">所报人员为</w:t>
            </w:r>
            <w:r>
              <w:rPr>
                <w:rFonts w:hint="eastAsia" w:ascii="宋体" w:hAnsi="宋体" w:eastAsia="宋体" w:cs="宋体"/>
                <w:color w:val="000000"/>
                <w:sz w:val="22"/>
                <w:szCs w:val="22"/>
                <w:highlight w:val="none"/>
              </w:rPr>
              <w:t xml:space="preserve">退休人员、事业单位人员或现役军人等客观原因无法提供养老保险金缴费证明，必须出具相关证明材料及劳动合同，否则一律按未提供养老保险金缴费证明材料处理</w:t>
            </w:r>
            <w:r>
              <w:rPr>
                <w:rFonts w:hint="eastAsia" w:ascii="宋体" w:hAnsi="宋体" w:eastAsia="宋体" w:cs="宋体"/>
                <w:color w:val="000000"/>
                <w:sz w:val="22"/>
                <w:szCs w:val="22"/>
                <w:highlight w:val="none"/>
                <w:lang w:eastAsia="zh-CN"/>
              </w:rPr>
              <w:t xml:space="preserve">。</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r>
      <w:tr>
        <w:trPr>
          <w:jc w:val="center"/>
          <w:trHeight w:val="1100"/>
        </w:trPr>
        <w:tc>
          <w:tcPr>
            <w:tcW w:w="719" w:type="dxa"/>
            <w:vAlign w:val="center"/>
            <w:vMerge w:val="continue"/>
            <w:textDirection w:val="lrTb"/>
            <w:noWrap w:val="false"/>
          </w:tcPr>
          <w:p>
            <w:pPr>
              <w:jc w:val="center"/>
              <w:tabs>
                <w:tab w:val="left" w:pos="22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116" w:type="dxa"/>
            <w:vAlign w:val="center"/>
            <w:vMerge w:val="continue"/>
            <w:textDirection w:val="lrTb"/>
            <w:noWrap w:val="false"/>
          </w:tcPr>
          <w:p>
            <w:pPr>
              <w:jc w:val="cente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091" w:type="dxa"/>
            <w:vAlign w:val="center"/>
            <w:textDirection w:val="lrTb"/>
            <w:noWrap w:val="false"/>
          </w:tcPr>
          <w:p>
            <w:pPr>
              <w:jc w:val="left"/>
              <w:spacing w:line="240" w:lineRule="auto"/>
              <w:tabs>
                <w:tab w:val="left" w:pos="220"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3.2项目组成员（不含项目负责人）</w:t>
            </w:r>
            <w:r/>
          </w:p>
          <w:p>
            <w:pPr>
              <w:numPr>
                <w:ilvl w:val="0"/>
                <w:numId w:val="3"/>
              </w:numP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项目组成员中具有建设工程类高级及以上职称的得4分；具有建设工程类中级及以上职称的得2分；本项最高得4分。提供职称证书</w:t>
            </w:r>
            <w:r>
              <w:rPr>
                <w:rFonts w:hint="eastAsia" w:ascii="宋体" w:hAnsi="宋体" w:eastAsia="宋体" w:cs="宋体"/>
                <w:bCs/>
                <w:color w:val="000000"/>
                <w:sz w:val="21"/>
                <w:szCs w:val="21"/>
                <w:highlight w:val="none"/>
              </w:rPr>
              <w:t xml:space="preserve">扫描</w:t>
            </w:r>
            <w:r>
              <w:rPr>
                <w:rFonts w:hint="eastAsia" w:ascii="宋体" w:hAnsi="宋体" w:eastAsia="宋体" w:cs="宋体"/>
                <w:bCs/>
                <w:color w:val="000000"/>
                <w:sz w:val="21"/>
                <w:szCs w:val="21"/>
                <w:highlight w:val="none"/>
                <w:lang w:val="en-US" w:eastAsia="zh-CN"/>
              </w:rPr>
              <w:t xml:space="preserve">件</w:t>
            </w:r>
            <w:r>
              <w:rPr>
                <w:rFonts w:hint="eastAsia" w:ascii="宋体" w:hAnsi="宋体" w:eastAsia="宋体" w:cs="宋体"/>
                <w:bCs/>
                <w:color w:val="000000"/>
                <w:sz w:val="21"/>
                <w:szCs w:val="21"/>
                <w:highlight w:val="none"/>
              </w:rPr>
              <w:t xml:space="preserve">上传至</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lang w:val="en-US" w:eastAsia="zh-CN"/>
              </w:rPr>
              <w:t xml:space="preserve">并加盖电子公章</w:t>
            </w:r>
            <w:r>
              <w:rPr>
                <w:rFonts w:hint="eastAsia" w:ascii="宋体" w:hAnsi="宋体" w:eastAsia="宋体" w:cs="宋体"/>
                <w:bCs/>
                <w:color w:val="000000"/>
                <w:sz w:val="21"/>
                <w:szCs w:val="21"/>
                <w:highlight w:val="none"/>
                <w:lang w:eastAsia="zh-CN"/>
              </w:rPr>
              <w:t xml:space="preserve">。</w:t>
            </w:r>
            <w:r/>
          </w:p>
          <w:p>
            <w:pPr>
              <w:numPr>
                <w:ilvl w:val="0"/>
                <w:numId w:val="3"/>
              </w:numP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组成员中配备具有给排水专业、电气专业、环境专业、工程测量专业、市政专业人员的得5分；每缺1个专业人员扣1分，扣完为止。专业以注册监理工程师证书上注明的所学专业为准，新版国家注册监理工程师无所学专业一栏的，以毕业证书上所学专业为准。提供证书</w:t>
            </w:r>
            <w:r>
              <w:rPr>
                <w:rFonts w:hint="eastAsia" w:ascii="宋体" w:hAnsi="宋体" w:eastAsia="宋体" w:cs="宋体"/>
                <w:bCs/>
                <w:color w:val="000000"/>
                <w:sz w:val="21"/>
                <w:szCs w:val="21"/>
                <w:highlight w:val="none"/>
              </w:rPr>
              <w:t xml:space="preserve">扫描</w:t>
            </w:r>
            <w:r>
              <w:rPr>
                <w:rFonts w:hint="eastAsia" w:ascii="宋体" w:hAnsi="宋体" w:eastAsia="宋体" w:cs="宋体"/>
                <w:bCs/>
                <w:color w:val="000000"/>
                <w:sz w:val="21"/>
                <w:szCs w:val="21"/>
                <w:highlight w:val="none"/>
                <w:lang w:val="en-US" w:eastAsia="zh-CN"/>
              </w:rPr>
              <w:t xml:space="preserve">件</w:t>
            </w:r>
            <w:r>
              <w:rPr>
                <w:rFonts w:hint="eastAsia" w:ascii="宋体" w:hAnsi="宋体" w:eastAsia="宋体" w:cs="宋体"/>
                <w:bCs/>
                <w:color w:val="000000"/>
                <w:sz w:val="21"/>
                <w:szCs w:val="21"/>
                <w:highlight w:val="none"/>
              </w:rPr>
              <w:t xml:space="preserve">上传至</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lang w:eastAsia="zh-CN"/>
              </w:rPr>
              <w:t xml:space="preserve">。</w:t>
            </w:r>
            <w:r/>
          </w:p>
          <w:p>
            <w:pPr>
              <w:numPr>
                <w:ilvl w:val="0"/>
                <w:numId w:val="3"/>
              </w:numP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具有国家注册安全工程师的得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分，具有通过市级及以上建设行政主管部门组织的安全生产培训</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eastAsia="zh-CN"/>
              </w:rPr>
              <w:t xml:space="preserve">本项</w:t>
            </w:r>
            <w:r>
              <w:rPr>
                <w:rFonts w:hint="eastAsia" w:ascii="宋体" w:hAnsi="宋体" w:eastAsia="宋体" w:cs="宋体"/>
                <w:bCs/>
                <w:color w:val="000000"/>
                <w:sz w:val="21"/>
                <w:szCs w:val="21"/>
                <w:highlight w:val="none"/>
              </w:rPr>
              <w:t xml:space="preserve">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提供注册证书或安全生产培训证书扫描</w:t>
            </w:r>
            <w:r>
              <w:rPr>
                <w:rFonts w:hint="eastAsia" w:ascii="宋体" w:hAnsi="宋体" w:eastAsia="宋体" w:cs="宋体"/>
                <w:bCs/>
                <w:color w:val="000000"/>
                <w:sz w:val="21"/>
                <w:szCs w:val="21"/>
                <w:highlight w:val="none"/>
                <w:lang w:val="en-US" w:eastAsia="zh-CN"/>
              </w:rPr>
              <w:t xml:space="preserve">件</w:t>
            </w:r>
            <w:r>
              <w:rPr>
                <w:rFonts w:hint="eastAsia" w:ascii="宋体" w:hAnsi="宋体" w:eastAsia="宋体" w:cs="宋体"/>
                <w:bCs/>
                <w:color w:val="000000"/>
                <w:sz w:val="21"/>
                <w:szCs w:val="21"/>
                <w:highlight w:val="none"/>
              </w:rPr>
              <w:t xml:space="preserve">上传至</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lang w:val="en-US" w:eastAsia="zh-CN"/>
              </w:rPr>
              <w:t xml:space="preserve">并加盖电子公章</w:t>
            </w:r>
            <w:r>
              <w:rPr>
                <w:rFonts w:hint="eastAsia" w:ascii="宋体" w:hAnsi="宋体" w:eastAsia="宋体" w:cs="宋体"/>
                <w:bCs/>
                <w:color w:val="000000"/>
                <w:sz w:val="21"/>
                <w:szCs w:val="21"/>
                <w:highlight w:val="none"/>
                <w:lang w:eastAsia="zh-CN"/>
              </w:rPr>
              <w:t xml:space="preserve">。</w:t>
            </w:r>
            <w:r/>
          </w:p>
          <w:p>
            <w:pPr>
              <w:tabs>
                <w:tab w:val="left" w:pos="2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注：</w:t>
            </w:r>
            <w:r/>
          </w:p>
          <w:p>
            <w:pPr>
              <w:numPr>
                <w:ilvl w:val="0"/>
                <w:numId w:val="0"/>
              </w:numP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lang w:val="en-US" w:eastAsia="zh-CN"/>
              </w:rPr>
              <w:t xml:space="preserve">须</w:t>
            </w:r>
            <w:r>
              <w:rPr>
                <w:rFonts w:hint="eastAsia" w:ascii="宋体" w:hAnsi="宋体" w:eastAsia="宋体" w:cs="宋体"/>
                <w:bCs/>
                <w:color w:val="000000"/>
                <w:sz w:val="21"/>
                <w:szCs w:val="21"/>
                <w:highlight w:val="none"/>
              </w:rPr>
              <w:t xml:space="preserve">提供项目组成员注册证书、职称证书复扫描</w:t>
            </w:r>
            <w:r>
              <w:rPr>
                <w:rFonts w:hint="eastAsia" w:ascii="宋体" w:hAnsi="宋体" w:eastAsia="宋体" w:cs="宋体"/>
                <w:bCs/>
                <w:color w:val="000000"/>
                <w:sz w:val="21"/>
                <w:szCs w:val="21"/>
                <w:highlight w:val="none"/>
                <w:lang w:val="en-US" w:eastAsia="zh-CN"/>
              </w:rPr>
              <w:t xml:space="preserve">件并加盖电子公章</w:t>
            </w:r>
            <w:r>
              <w:rPr>
                <w:rFonts w:hint="eastAsia" w:ascii="宋体" w:hAnsi="宋体" w:eastAsia="宋体" w:cs="宋体"/>
                <w:bCs/>
                <w:color w:val="000000"/>
                <w:sz w:val="21"/>
                <w:szCs w:val="21"/>
                <w:highlight w:val="none"/>
              </w:rPr>
              <w:t xml:space="preserve">上传至</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lang w:eastAsia="zh-CN"/>
              </w:rPr>
              <w:t xml:space="preserve">。</w:t>
            </w:r>
            <w:r/>
          </w:p>
          <w:p>
            <w:pPr>
              <w:spacing w:line="240" w:lineRule="auto"/>
              <w:tabs>
                <w:tab w:val="left" w:pos="22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②</w:t>
            </w:r>
            <w:r>
              <w:rPr>
                <w:rFonts w:ascii="Times New Roman" w:hAnsi="Times New Roman" w:cs="Times New Roman"/>
                <w:bCs/>
                <w:color w:val="000000"/>
                <w:szCs w:val="21"/>
              </w:rPr>
              <w:t xml:space="preserve">以上人员要求供应商须在响应文件中提供</w:t>
            </w:r>
            <w:r>
              <w:rPr>
                <w:rFonts w:hint="eastAsia" w:ascii="宋体" w:hAnsi="宋体" w:eastAsia="宋体" w:cs="宋体"/>
                <w:b w:val="0"/>
                <w:bCs w:val="0"/>
                <w:sz w:val="21"/>
                <w:szCs w:val="21"/>
                <w:lang w:val="zh-CN" w:eastAsia="zh-CN"/>
              </w:rPr>
              <w:t xml:space="preserve">社保机构出具的近半年（2025年5月至2025年10月）中任意一月供应商为其缴纳的养老保险缴费证明（需明确缴费月份、个人姓名、缴费单位）材料并加盖社保中心章或社保中心参保缴费证明电子专用章及有效期内的劳动合同</w:t>
            </w:r>
            <w:r>
              <w:rPr>
                <w:rFonts w:hint="eastAsia" w:ascii="宋体" w:hAnsi="宋体" w:eastAsia="宋体" w:cs="宋体"/>
                <w:b w:val="0"/>
                <w:bCs w:val="0"/>
                <w:sz w:val="21"/>
                <w:szCs w:val="21"/>
                <w:lang w:eastAsia="zh-CN"/>
              </w:rPr>
              <w:t xml:space="preserve">及有效期内的劳动合同</w:t>
            </w:r>
            <w:r>
              <w:rPr>
                <w:rFonts w:hint="eastAsia" w:ascii="宋体" w:hAnsi="宋体" w:cs="宋体"/>
                <w:b w:val="0"/>
                <w:bCs w:val="0"/>
                <w:sz w:val="21"/>
                <w:szCs w:val="21"/>
                <w:lang w:eastAsia="zh-CN"/>
              </w:rPr>
              <w:t xml:space="preserve">，</w:t>
            </w:r>
            <w:r>
              <w:rPr>
                <w:rFonts w:hint="eastAsia" w:ascii="宋体" w:hAnsi="宋体" w:eastAsia="宋体" w:cs="宋体"/>
                <w:color w:val="000000"/>
                <w:sz w:val="22"/>
                <w:szCs w:val="22"/>
                <w:highlight w:val="none"/>
              </w:rPr>
              <w:t xml:space="preserve">若</w:t>
            </w:r>
            <w:r>
              <w:rPr>
                <w:rFonts w:hint="eastAsia" w:cs="宋体"/>
                <w:color w:val="000000"/>
                <w:sz w:val="22"/>
                <w:szCs w:val="22"/>
                <w:highlight w:val="none"/>
                <w:lang w:val="en-US" w:eastAsia="zh-CN"/>
              </w:rPr>
              <w:t xml:space="preserve">所报人员为</w:t>
            </w:r>
            <w:r>
              <w:rPr>
                <w:rFonts w:hint="eastAsia" w:ascii="宋体" w:hAnsi="宋体" w:eastAsia="宋体" w:cs="宋体"/>
                <w:color w:val="000000"/>
                <w:sz w:val="22"/>
                <w:szCs w:val="22"/>
                <w:highlight w:val="none"/>
              </w:rPr>
              <w:t xml:space="preserve">退休人员、事业单位人员或现役军人等客观原因无法提供养老保险金缴费证明，必须出具相关证明材料及劳动合同，否则一律按未提供养老保险金缴费证明材料处理</w:t>
            </w:r>
            <w:r>
              <w:rPr>
                <w:rFonts w:ascii="Times New Roman" w:hAnsi="Times New Roman" w:cs="Times New Roman"/>
                <w:bCs/>
                <w:color w:val="000000"/>
                <w:szCs w:val="21"/>
              </w:rPr>
              <w:t xml:space="preserve">。</w:t>
            </w:r>
            <w:r/>
          </w:p>
          <w:p>
            <w:pPr>
              <w:jc w:val="left"/>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③同一项目组成员不可重复得分。</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p>
        </w:tc>
      </w:tr>
      <w:tr>
        <w:trPr>
          <w:jc w:val="center"/>
          <w:trHeight w:val="1100"/>
        </w:trPr>
        <w:tc>
          <w:tcPr>
            <w:tcW w:w="719" w:type="dxa"/>
            <w:vAlign w:val="center"/>
            <w:textDirection w:val="lrTb"/>
            <w:noWrap w:val="false"/>
          </w:tcPr>
          <w:p>
            <w:pPr>
              <w:jc w:val="center"/>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p>
        </w:tc>
        <w:tc>
          <w:tcPr>
            <w:tcW w:w="1116" w:type="dxa"/>
            <w:vAlign w:val="center"/>
            <w:textDirection w:val="lrTb"/>
            <w:noWrap w:val="false"/>
          </w:tcPr>
          <w:p>
            <w:pPr>
              <w:pStyle w:val="956"/>
              <w:ind w:right="114"/>
              <w:jc w:val="center"/>
              <w:spacing w:before="104"/>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企业业绩（6分）</w:t>
            </w:r>
            <w:r/>
          </w:p>
        </w:tc>
        <w:tc>
          <w:tcPr>
            <w:tcW w:w="8091" w:type="dxa"/>
            <w:vAlign w:val="center"/>
            <w:textDirection w:val="lrTb"/>
            <w:noWrap w:val="false"/>
          </w:tcPr>
          <w:p>
            <w:pPr>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投标人自2022年11月1日以来（以合同签订时间为准），承接过污水处理设施建设监督考核业绩或类似污水管网工程监理服务的每提供一个得3分</w:t>
            </w:r>
            <w:r>
              <w:rPr>
                <w:rFonts w:hint="eastAsia" w:ascii="宋体" w:hAnsi="宋体" w:eastAsia="宋体" w:cs="宋体"/>
                <w:bCs/>
                <w:color w:val="000000"/>
                <w:sz w:val="21"/>
                <w:szCs w:val="21"/>
                <w:highlight w:val="none"/>
              </w:rPr>
              <w:t xml:space="preserve">，本项最高</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numPr>
                <w:ilvl w:val="0"/>
                <w:numId w:val="0"/>
              </w:numPr>
              <w:tabs>
                <w:tab w:val="left" w:pos="22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注</w:t>
            </w:r>
            <w:r>
              <w:rPr>
                <w:rFonts w:hint="eastAsia" w:ascii="宋体" w:hAnsi="宋体" w:eastAsia="宋体" w:cs="宋体"/>
                <w:bCs/>
                <w:color w:val="000000"/>
                <w:sz w:val="21"/>
                <w:szCs w:val="21"/>
                <w:highlight w:val="none"/>
              </w:rPr>
              <w:t xml:space="preserve">：须同时提供中标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成交）</w:t>
            </w:r>
            <w:r>
              <w:rPr>
                <w:rFonts w:hint="eastAsia" w:ascii="宋体" w:hAnsi="宋体" w:eastAsia="宋体" w:cs="宋体"/>
                <w:bCs/>
                <w:color w:val="000000"/>
                <w:sz w:val="21"/>
                <w:szCs w:val="21"/>
                <w:highlight w:val="none"/>
              </w:rPr>
              <w:t xml:space="preserve">通知书、合同协议书扫描</w:t>
            </w:r>
            <w:r>
              <w:rPr>
                <w:rFonts w:hint="eastAsia" w:ascii="宋体" w:hAnsi="宋体" w:eastAsia="宋体" w:cs="宋体"/>
                <w:bCs/>
                <w:color w:val="000000"/>
                <w:sz w:val="21"/>
                <w:szCs w:val="21"/>
                <w:highlight w:val="none"/>
                <w:lang w:val="en-US" w:eastAsia="zh-CN"/>
              </w:rPr>
              <w:t xml:space="preserve">件</w:t>
            </w:r>
            <w:r>
              <w:rPr>
                <w:rFonts w:hint="eastAsia" w:ascii="宋体" w:hAnsi="宋体" w:eastAsia="宋体" w:cs="宋体"/>
                <w:bCs/>
                <w:color w:val="000000"/>
                <w:sz w:val="21"/>
                <w:szCs w:val="21"/>
                <w:highlight w:val="none"/>
              </w:rPr>
              <w:t xml:space="preserve">上传至</w:t>
            </w:r>
            <w:r>
              <w:rPr>
                <w:rFonts w:hint="eastAsia" w:ascii="宋体" w:hAnsi="宋体" w:eastAsia="宋体" w:cs="宋体"/>
                <w:bCs/>
                <w:color w:val="000000"/>
                <w:sz w:val="21"/>
                <w:szCs w:val="21"/>
                <w:highlight w:val="none"/>
                <w:lang w:val="en-US" w:eastAsia="zh-CN"/>
              </w:rPr>
              <w:t xml:space="preserve">响应文件</w:t>
            </w:r>
            <w:r>
              <w:rPr>
                <w:rFonts w:hint="eastAsia" w:ascii="宋体" w:hAnsi="宋体" w:eastAsia="宋体" w:cs="宋体"/>
                <w:bCs/>
                <w:color w:val="000000"/>
                <w:sz w:val="21"/>
                <w:szCs w:val="21"/>
                <w:highlight w:val="none"/>
              </w:rPr>
              <w:t xml:space="preserve">中</w:t>
            </w:r>
            <w:r>
              <w:rPr>
                <w:rFonts w:hint="eastAsia" w:ascii="宋体" w:hAnsi="宋体" w:eastAsia="宋体" w:cs="宋体"/>
                <w:bCs/>
                <w:color w:val="000000"/>
                <w:sz w:val="21"/>
                <w:szCs w:val="21"/>
                <w:highlight w:val="none"/>
                <w:lang w:val="en-US" w:eastAsia="zh-CN"/>
              </w:rPr>
              <w:t xml:space="preserve">并加盖电子公章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缺一不可，提供的证明材料必须能反映相关内容，否则视为业绩不满足</w:t>
            </w:r>
            <w:r>
              <w:rPr>
                <w:rFonts w:hint="eastAsia" w:ascii="宋体" w:hAnsi="宋体" w:eastAsia="宋体" w:cs="宋体"/>
                <w:bCs/>
                <w:color w:val="000000"/>
                <w:sz w:val="21"/>
                <w:szCs w:val="21"/>
                <w:highlight w:val="none"/>
                <w:lang w:eastAsia="zh-CN"/>
              </w:rPr>
              <w:t xml:space="preserve">。</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r>
      <w:tr>
        <w:trPr>
          <w:jc w:val="center"/>
          <w:trHeight w:val="1100"/>
        </w:trPr>
        <w:tc>
          <w:tcPr>
            <w:tcW w:w="719" w:type="dxa"/>
            <w:vAlign w:val="center"/>
            <w:textDirection w:val="lrTb"/>
            <w:noWrap w:val="false"/>
          </w:tcPr>
          <w:p>
            <w:pPr>
              <w:jc w:val="center"/>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w:t>
            </w:r>
            <w:r/>
          </w:p>
        </w:tc>
        <w:tc>
          <w:tcPr>
            <w:tcW w:w="1116"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综合实力   （4分）</w:t>
            </w:r>
            <w:r/>
          </w:p>
        </w:tc>
        <w:tc>
          <w:tcPr>
            <w:tcW w:w="8091" w:type="dxa"/>
            <w:vAlign w:val="center"/>
            <w:textDirection w:val="lrTb"/>
            <w:noWrap w:val="false"/>
          </w:tcPr>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投标人须具备省级及以上行政主管部门颁发的CMA计量认证证书的得4分。</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注：须提供有效的CMA计量认证证书，如是委托第三方检测单位须提供委托协议、第三方检测单位的营业执照及CMA计量认证证书及附表，上传至电子投标文件中并加盖电子公章。</w:t>
            </w:r>
            <w:r/>
          </w:p>
        </w:tc>
        <w:tc>
          <w:tcPr>
            <w:tcW w:w="775"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r>
      <w:tr>
        <w:trPr>
          <w:jc w:val="center"/>
          <w:trHeight w:val="532"/>
        </w:trPr>
        <w:tc>
          <w:tcPr>
            <w:gridSpan w:val="3"/>
            <w:tcW w:w="9926" w:type="dxa"/>
            <w:vAlign w:val="center"/>
            <w:textDirection w:val="lrTb"/>
            <w:noWrap w:val="false"/>
          </w:tcPr>
          <w:p>
            <w:pPr>
              <w:jc w:val="righ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合计：</w:t>
            </w:r>
            <w:r/>
          </w:p>
        </w:tc>
        <w:tc>
          <w:tcPr>
            <w:tcW w:w="775" w:type="dxa"/>
            <w:vAlign w:val="center"/>
            <w:textDirection w:val="lrTb"/>
            <w:noWrap w:val="false"/>
          </w:tcPr>
          <w:p>
            <w:pPr>
              <w:pStyle w:val="911"/>
              <w:jc w:val="center"/>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100分</w:t>
            </w:r>
            <w:r/>
          </w:p>
        </w:tc>
      </w:tr>
    </w:tbl>
    <w:p>
      <w:pPr>
        <w:spacing w:line="460" w:lineRule="exact"/>
        <w:rPr>
          <w:rStyle w:val="969"/>
          <w:rFonts w:ascii="宋体" w:hAnsi="宋体"/>
          <w:b/>
          <w:color w:val="000000"/>
          <w:highlight w:val="none"/>
        </w:rPr>
      </w:pPr>
      <w:r>
        <w:rPr>
          <w:rStyle w:val="969"/>
          <w:rFonts w:hint="eastAsia" w:ascii="宋体" w:hAnsi="宋体"/>
          <w:b/>
          <w:color w:val="000000"/>
          <w:highlight w:val="none"/>
        </w:rPr>
        <w:t xml:space="preserve">三、说明</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2、政策功能：</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2.6 价格扣除</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p>
    <w:p>
      <w:pPr>
        <w:ind w:firstLine="415"/>
        <w:spacing w:line="240" w:lineRule="auto"/>
        <w:rPr>
          <w:rFonts w:hint="eastAsia" w:ascii="Times New Roman" w:hAnsi="Times New Roman" w:eastAsia="宋体" w:cs="Times New Roman"/>
          <w:color w:val="000000"/>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pStyle w:val="871"/>
        <w:jc w:val="center"/>
        <w:spacing w:line="360" w:lineRule="auto"/>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第四章 采购项目</w:t>
      </w:r>
      <w:bookmarkEnd w:id="38"/>
      <w:r/>
      <w:bookmarkEnd w:id="39"/>
      <w:r>
        <w:rPr>
          <w:rFonts w:hint="eastAsia" w:ascii="宋体" w:hAnsi="宋体" w:cs="宋体"/>
          <w:color w:val="000000"/>
          <w:sz w:val="36"/>
          <w:szCs w:val="36"/>
          <w:highlight w:val="none"/>
          <w:lang w:val="zh-CN"/>
        </w:rPr>
        <w:t xml:space="preserve">需求</w:t>
      </w:r>
      <w:bookmarkEnd w:id="40"/>
      <w:r/>
      <w:r/>
    </w:p>
    <w:p>
      <w:pPr>
        <w:spacing w:line="360" w:lineRule="auto"/>
        <w:rPr>
          <w:rFonts w:hint="eastAsia" w:ascii="宋体" w:hAnsi="宋体"/>
          <w:sz w:val="22"/>
          <w:highlight w:val="none"/>
        </w:rPr>
      </w:pPr>
      <w:r/>
      <w:bookmarkStart w:id="41" w:name="_Toc28215"/>
      <w:r/>
      <w:bookmarkStart w:id="42" w:name="_Toc14391"/>
      <w:r>
        <w:rPr>
          <w:rFonts w:hint="eastAsia" w:ascii="宋体" w:hAnsi="宋体"/>
          <w:b/>
          <w:bCs/>
          <w:sz w:val="22"/>
          <w:highlight w:val="none"/>
        </w:rPr>
        <w:t xml:space="preserve">一、项目概况</w:t>
      </w:r>
      <w:r/>
    </w:p>
    <w:p>
      <w:pPr>
        <w:ind w:firstLine="440"/>
        <w:spacing w:line="360" w:lineRule="auto"/>
        <w:rPr>
          <w:rFonts w:hint="eastAsia" w:ascii="宋体" w:hAnsi="宋体" w:eastAsia="Calibri"/>
          <w:sz w:val="22"/>
          <w:highlight w:val="none"/>
          <w:lang w:val="zh-CN"/>
        </w:rPr>
      </w:pPr>
      <w:r>
        <w:rPr>
          <w:rFonts w:hint="eastAsia" w:ascii="宋体" w:hAnsi="宋体" w:eastAsia="Calibri"/>
          <w:sz w:val="22"/>
          <w:highlight w:val="none"/>
          <w:lang w:val="zh-CN"/>
        </w:rPr>
        <w:t xml:space="preserve">1、项目名称：2026年全区农污处理设施建设运维监督管理技术服务</w:t>
      </w:r>
      <w:r/>
    </w:p>
    <w:p>
      <w:pPr>
        <w:ind w:firstLine="440"/>
        <w:spacing w:line="360" w:lineRule="auto"/>
        <w:rPr>
          <w:rFonts w:hint="eastAsia" w:ascii="宋体" w:hAnsi="宋体" w:eastAsia="Calibri"/>
          <w:sz w:val="22"/>
          <w:highlight w:val="none"/>
          <w:lang w:val="zh-CN"/>
        </w:rPr>
      </w:pPr>
      <w:r>
        <w:rPr>
          <w:rFonts w:hint="eastAsia" w:ascii="宋体" w:hAnsi="宋体" w:eastAsia="Calibri"/>
          <w:sz w:val="22"/>
          <w:highlight w:val="none"/>
          <w:lang w:val="zh-CN"/>
        </w:rPr>
        <w:t xml:space="preserve">2、项目地点：南京市</w:t>
      </w:r>
      <w:r>
        <w:rPr>
          <w:rFonts w:hint="eastAsia" w:ascii="宋体" w:hAnsi="宋体" w:eastAsia="Calibri"/>
          <w:sz w:val="22"/>
          <w:highlight w:val="none"/>
        </w:rPr>
        <w:t xml:space="preserve">江宁区</w:t>
      </w:r>
      <w:r/>
    </w:p>
    <w:p>
      <w:pPr>
        <w:ind w:left="420"/>
        <w:spacing w:line="360" w:lineRule="auto"/>
        <w:rPr>
          <w:rFonts w:hint="eastAsia"/>
          <w:sz w:val="22"/>
          <w:highlight w:val="none"/>
        </w:rPr>
      </w:pPr>
      <w:r>
        <w:rPr>
          <w:rFonts w:hint="eastAsia"/>
          <w:sz w:val="22"/>
          <w:highlight w:val="none"/>
        </w:rPr>
        <w:t xml:space="preserve">3、合同履行期限：</w:t>
      </w:r>
      <w:r>
        <w:rPr>
          <w:rFonts w:hint="eastAsia" w:ascii="宋体" w:hAnsi="宋体"/>
          <w:color w:val="000000"/>
          <w:highlight w:val="none"/>
          <w:lang w:val="en-US" w:eastAsia="zh-CN"/>
        </w:rPr>
        <w:t xml:space="preserve">一年</w:t>
      </w:r>
      <w:r>
        <w:rPr>
          <w:rFonts w:hint="eastAsia"/>
          <w:sz w:val="22"/>
          <w:highlight w:val="none"/>
        </w:rPr>
        <w:t xml:space="preserve"> </w:t>
      </w:r>
      <w:r/>
    </w:p>
    <w:p>
      <w:pPr>
        <w:pStyle w:val="976"/>
        <w:ind w:firstLine="442"/>
        <w:jc w:val="both"/>
        <w:spacing w:line="360" w:lineRule="auto"/>
        <w:rPr>
          <w:rFonts w:hint="eastAsia" w:ascii="宋体" w:hAnsi="宋体" w:eastAsia="宋体" w:cs="Times New Roman"/>
          <w:b/>
          <w:color w:val="000000"/>
          <w:sz w:val="22"/>
          <w:szCs w:val="22"/>
          <w:highlight w:val="none"/>
        </w:rPr>
      </w:pPr>
      <w:r/>
      <w:bookmarkStart w:id="43" w:name="_Toc7238"/>
      <w:r>
        <w:rPr>
          <w:rFonts w:hint="eastAsia" w:ascii="宋体" w:hAnsi="宋体" w:eastAsia="宋体" w:cs="Times New Roman"/>
          <w:b/>
          <w:color w:val="000000"/>
          <w:sz w:val="22"/>
          <w:szCs w:val="22"/>
          <w:highlight w:val="none"/>
        </w:rPr>
        <w:t xml:space="preserve">二、采购需求</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（一）工作内容。</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甲方安排乙方从事的工作任务包括:日常</w:t>
      </w:r>
      <w:r>
        <w:rPr>
          <w:rFonts w:hint="eastAsia" w:ascii="Times New Roman" w:hAnsi="Times New Roman"/>
          <w:color w:val="000000"/>
          <w:sz w:val="24"/>
          <w:szCs w:val="24"/>
          <w:highlight w:val="none"/>
          <w:lang w:eastAsia="zh-CN"/>
        </w:rPr>
        <w:t xml:space="preserve">农村污水处理系统的</w:t>
      </w:r>
      <w:r>
        <w:rPr>
          <w:rFonts w:hint="eastAsia" w:ascii="Times New Roman" w:hAnsi="Times New Roman"/>
          <w:color w:val="000000"/>
          <w:sz w:val="24"/>
          <w:szCs w:val="24"/>
          <w:highlight w:val="none"/>
        </w:rPr>
        <w:t xml:space="preserve">建设与运维情况</w:t>
      </w:r>
      <w:r>
        <w:rPr>
          <w:rFonts w:hint="eastAsia" w:ascii="Times New Roman" w:hAnsi="Times New Roman"/>
          <w:color w:val="000000"/>
          <w:sz w:val="24"/>
          <w:szCs w:val="24"/>
          <w:highlight w:val="none"/>
          <w:lang w:eastAsia="zh-CN"/>
        </w:rPr>
        <w:t xml:space="preserve">管理、农污终端设施</w:t>
      </w:r>
      <w:r>
        <w:rPr>
          <w:rFonts w:hint="eastAsia" w:ascii="Times New Roman" w:hAnsi="Times New Roman"/>
          <w:color w:val="000000"/>
          <w:sz w:val="24"/>
          <w:szCs w:val="24"/>
          <w:highlight w:val="none"/>
        </w:rPr>
        <w:t xml:space="preserve">进出水水质监测</w:t>
      </w:r>
      <w:r>
        <w:rPr>
          <w:rFonts w:hint="eastAsia" w:ascii="Times New Roman" w:hAnsi="Times New Roman"/>
          <w:color w:val="000000"/>
          <w:sz w:val="24"/>
          <w:szCs w:val="24"/>
          <w:highlight w:val="none"/>
          <w:lang w:eastAsia="zh-CN"/>
        </w:rPr>
        <w:t xml:space="preserve">、农村污水处理系统运维考核</w:t>
      </w:r>
      <w:r>
        <w:rPr>
          <w:rFonts w:hint="eastAsia" w:ascii="Times New Roman" w:hAnsi="Times New Roman"/>
          <w:color w:val="000000"/>
          <w:sz w:val="24"/>
          <w:szCs w:val="24"/>
          <w:highlight w:val="none"/>
        </w:rPr>
        <w:t xml:space="preserve">，具体如下：</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1、日常</w:t>
      </w:r>
      <w:r>
        <w:rPr>
          <w:rFonts w:hint="eastAsia" w:ascii="Times New Roman" w:hAnsi="Times New Roman"/>
          <w:color w:val="000000"/>
          <w:sz w:val="24"/>
          <w:szCs w:val="24"/>
          <w:highlight w:val="none"/>
          <w:lang w:eastAsia="zh-CN"/>
        </w:rPr>
        <w:t xml:space="preserve">建设</w:t>
      </w:r>
      <w:r>
        <w:rPr>
          <w:rFonts w:hint="eastAsia" w:ascii="Times New Roman" w:hAnsi="Times New Roman"/>
          <w:color w:val="000000"/>
          <w:sz w:val="24"/>
          <w:szCs w:val="24"/>
          <w:highlight w:val="none"/>
        </w:rPr>
        <w:t xml:space="preserve">运维情况</w:t>
      </w:r>
      <w:r>
        <w:rPr>
          <w:rFonts w:hint="eastAsia" w:ascii="Times New Roman" w:hAnsi="Times New Roman"/>
          <w:color w:val="000000"/>
          <w:sz w:val="24"/>
          <w:szCs w:val="24"/>
          <w:highlight w:val="none"/>
          <w:lang w:eastAsia="zh-CN"/>
        </w:rPr>
        <w:t xml:space="preserve">管理</w:t>
      </w:r>
      <w:r>
        <w:rPr>
          <w:rFonts w:hint="eastAsia" w:ascii="Times New Roman" w:hAnsi="Times New Roman"/>
          <w:color w:val="000000"/>
          <w:sz w:val="24"/>
          <w:szCs w:val="24"/>
          <w:highlight w:val="none"/>
        </w:rPr>
        <w:t xml:space="preserve">工作包括:在合同期内对每个标段服务范围的自然村(</w:t>
      </w:r>
      <w:r>
        <w:rPr>
          <w:rFonts w:hint="eastAsia" w:ascii="Times New Roman" w:hAnsi="Times New Roman"/>
          <w:color w:val="000000"/>
          <w:sz w:val="24"/>
          <w:szCs w:val="24"/>
          <w:highlight w:val="none"/>
          <w:lang w:val="en-US" w:eastAsia="zh-CN"/>
        </w:rPr>
        <w:t xml:space="preserve">一标段</w:t>
      </w:r>
      <w:r>
        <w:rPr>
          <w:rFonts w:hint="eastAsia" w:ascii="Times New Roman" w:hAnsi="Times New Roman"/>
          <w:color w:val="000000"/>
          <w:sz w:val="24"/>
          <w:szCs w:val="24"/>
          <w:highlight w:val="none"/>
        </w:rPr>
        <w:t xml:space="preserve">服务范围为汤山、淳化、横溪、湖熟街道的758个自然村；</w:t>
      </w:r>
      <w:r>
        <w:rPr>
          <w:rFonts w:hint="eastAsia" w:ascii="Times New Roman" w:hAnsi="Times New Roman"/>
          <w:color w:val="000000"/>
          <w:sz w:val="24"/>
          <w:szCs w:val="24"/>
          <w:highlight w:val="none"/>
          <w:lang w:val="en-US" w:eastAsia="zh-CN"/>
        </w:rPr>
        <w:t xml:space="preserve">二标段</w:t>
      </w:r>
      <w:r>
        <w:rPr>
          <w:rFonts w:hint="eastAsia" w:ascii="Times New Roman" w:hAnsi="Times New Roman"/>
          <w:color w:val="000000"/>
          <w:sz w:val="24"/>
          <w:szCs w:val="24"/>
          <w:highlight w:val="none"/>
        </w:rPr>
        <w:t xml:space="preserve">服务范围为东山、江宁、谷里、秣陵、禄口街道的679个自然村)的农村污水处理</w:t>
      </w:r>
      <w:r>
        <w:rPr>
          <w:rFonts w:hint="eastAsia" w:ascii="Times New Roman" w:hAnsi="Times New Roman"/>
          <w:color w:val="000000"/>
          <w:sz w:val="24"/>
          <w:szCs w:val="24"/>
          <w:highlight w:val="none"/>
          <w:lang w:eastAsia="zh-CN"/>
        </w:rPr>
        <w:t xml:space="preserve">系统的排水源头溯源排查、农户生活污水接入、非生活污水接入、</w:t>
      </w:r>
      <w:r>
        <w:rPr>
          <w:rFonts w:hint="eastAsia" w:ascii="Times New Roman" w:hAnsi="Times New Roman"/>
          <w:color w:val="000000"/>
          <w:sz w:val="24"/>
          <w:szCs w:val="24"/>
          <w:highlight w:val="none"/>
          <w:lang w:val="en-US" w:eastAsia="zh-CN"/>
        </w:rPr>
        <w:t xml:space="preserve">内部污水</w:t>
      </w:r>
      <w:r>
        <w:rPr>
          <w:rFonts w:hint="eastAsia" w:ascii="Times New Roman" w:hAnsi="Times New Roman"/>
          <w:color w:val="000000"/>
          <w:sz w:val="24"/>
          <w:szCs w:val="24"/>
          <w:highlight w:val="none"/>
          <w:lang w:eastAsia="zh-CN"/>
        </w:rPr>
        <w:t xml:space="preserve">管网运维、终端处理设施运维等情况进行四轮全覆盖监督巡查</w:t>
      </w:r>
      <w:r>
        <w:rPr>
          <w:rFonts w:hint="eastAsia" w:ascii="Times New Roman" w:hAnsi="Times New Roman"/>
          <w:color w:val="000000"/>
          <w:sz w:val="24"/>
          <w:szCs w:val="24"/>
          <w:highlight w:val="none"/>
        </w:rPr>
        <w:t xml:space="preserve">，不定期对农污设施运维情况进行安全检查;运维管理情况以及巡查情况形成日常巡检记录，每季度形成巡查报告，年终形成工作总结报告。</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进出水水质监测工作包括：根据《南京市农村生活污水处理设施建设与运营管理技术导则》要求，对每个标段服务范围内的农村污水处理设施的进出水开展抽检，并形成水质检测报告以及问题原因分析报告报送至区水务局（抽查范围与每月抽检数量由实际情况动态调整。服务期内共计抽检520座农村污水处理设施进出水水质，其中针对</w:t>
      </w:r>
      <w:r>
        <w:rPr>
          <w:rFonts w:hint="eastAsia" w:ascii="Times New Roman" w:hAnsi="Times New Roman"/>
          <w:color w:val="000000"/>
          <w:sz w:val="24"/>
          <w:szCs w:val="24"/>
          <w:highlight w:val="none"/>
          <w:lang w:val="en-US" w:eastAsia="zh-CN"/>
        </w:rPr>
        <w:t xml:space="preserve">2025年出现水质检测异常或经前端排水溯源需重点监管的终端设备</w:t>
      </w:r>
      <w:r>
        <w:rPr>
          <w:rFonts w:hint="eastAsia" w:ascii="Times New Roman" w:hAnsi="Times New Roman"/>
          <w:color w:val="000000"/>
          <w:sz w:val="24"/>
          <w:szCs w:val="24"/>
          <w:highlight w:val="none"/>
        </w:rPr>
        <w:t xml:space="preserve">，每季度进行一次进出水水质检测，全年共抽检</w:t>
      </w:r>
      <w:r>
        <w:rPr>
          <w:rFonts w:hint="eastAsia" w:ascii="Times New Roman" w:hAnsi="Times New Roman"/>
          <w:color w:val="000000"/>
          <w:sz w:val="24"/>
          <w:szCs w:val="24"/>
          <w:highlight w:val="none"/>
          <w:lang w:eastAsia="zh-CN"/>
        </w:rPr>
        <w:t xml:space="preserve">约</w:t>
      </w:r>
      <w:r>
        <w:rPr>
          <w:rFonts w:hint="eastAsia" w:ascii="Times New Roman" w:hAnsi="Times New Roman"/>
          <w:color w:val="000000"/>
          <w:sz w:val="24"/>
          <w:szCs w:val="24"/>
          <w:highlight w:val="none"/>
          <w:lang w:val="en-US" w:eastAsia="zh-CN"/>
        </w:rPr>
        <w:t xml:space="preserve">320</w:t>
      </w:r>
      <w:r>
        <w:rPr>
          <w:rFonts w:hint="eastAsia" w:ascii="Times New Roman" w:hAnsi="Times New Roman"/>
          <w:color w:val="000000"/>
          <w:sz w:val="24"/>
          <w:szCs w:val="24"/>
          <w:highlight w:val="none"/>
        </w:rPr>
        <w:t xml:space="preserve">套次；其余常规农污设备全年共抽检</w:t>
      </w:r>
      <w:r>
        <w:rPr>
          <w:rFonts w:hint="eastAsia" w:ascii="Times New Roman" w:hAnsi="Times New Roman"/>
          <w:color w:val="000000"/>
          <w:sz w:val="24"/>
          <w:szCs w:val="24"/>
          <w:highlight w:val="none"/>
          <w:lang w:eastAsia="zh-CN"/>
        </w:rPr>
        <w:t xml:space="preserve">约</w:t>
      </w:r>
      <w:r>
        <w:rPr>
          <w:rFonts w:hint="eastAsia" w:ascii="Times New Roman" w:hAnsi="Times New Roman"/>
          <w:color w:val="000000"/>
          <w:sz w:val="24"/>
          <w:szCs w:val="24"/>
          <w:highlight w:val="none"/>
          <w:lang w:val="en-US" w:eastAsia="zh-CN"/>
        </w:rPr>
        <w:t xml:space="preserve">160</w:t>
      </w:r>
      <w:r>
        <w:rPr>
          <w:rFonts w:hint="eastAsia" w:ascii="Times New Roman" w:hAnsi="Times New Roman"/>
          <w:color w:val="000000"/>
          <w:sz w:val="24"/>
          <w:szCs w:val="24"/>
          <w:highlight w:val="none"/>
        </w:rPr>
        <w:t xml:space="preserve">套次，两个标段设施具体抽检数与抽点点位由我局依据实际工作计划动态调整并提前布置；每季度两个标段分别交叉抽取</w:t>
      </w:r>
      <w:r>
        <w:rPr>
          <w:rFonts w:hint="eastAsia" w:ascii="Times New Roman" w:hAnsi="Times New Roman"/>
          <w:color w:val="000000"/>
          <w:sz w:val="24"/>
          <w:szCs w:val="24"/>
          <w:highlight w:val="none"/>
          <w:lang w:eastAsia="zh-CN"/>
        </w:rPr>
        <w:t xml:space="preserve">一定数量的重点</w:t>
      </w:r>
      <w:r>
        <w:rPr>
          <w:rFonts w:hint="eastAsia" w:ascii="Times New Roman" w:hAnsi="Times New Roman"/>
          <w:color w:val="000000"/>
          <w:sz w:val="24"/>
          <w:szCs w:val="24"/>
          <w:highlight w:val="none"/>
        </w:rPr>
        <w:t xml:space="preserve">设施进行水质复测</w:t>
      </w:r>
      <w:r>
        <w:rPr>
          <w:rFonts w:hint="eastAsia" w:ascii="Times New Roman" w:hAnsi="Times New Roman"/>
          <w:color w:val="000000"/>
          <w:sz w:val="24"/>
          <w:szCs w:val="24"/>
          <w:highlight w:val="none"/>
          <w:lang w:eastAsia="zh-CN"/>
        </w:rPr>
        <w:t xml:space="preserve">，或抽取上季度不合格设施总数的</w:t>
      </w:r>
      <w:r>
        <w:rPr>
          <w:rFonts w:hint="eastAsia" w:ascii="Times New Roman" w:hAnsi="Times New Roman"/>
          <w:color w:val="000000"/>
          <w:sz w:val="24"/>
          <w:szCs w:val="24"/>
          <w:highlight w:val="none"/>
          <w:lang w:val="en-US" w:eastAsia="zh-CN"/>
        </w:rPr>
        <w:t xml:space="preserve">10%以上设施进行整改后复测。</w:t>
      </w:r>
      <w:r>
        <w:rPr>
          <w:rFonts w:hint="eastAsia" w:ascii="Times New Roman" w:hAnsi="Times New Roman"/>
          <w:color w:val="000000"/>
          <w:sz w:val="24"/>
          <w:szCs w:val="24"/>
          <w:highlight w:val="none"/>
        </w:rPr>
        <w:t xml:space="preserve">）。</w:t>
      </w:r>
      <w:r/>
    </w:p>
    <w:p>
      <w:pPr>
        <w:pStyle w:val="700"/>
        <w:rPr>
          <w:rFonts w:hint="eastAsia" w:ascii="Times New Roman" w:hAnsi="Times New Roman"/>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3、</w:t>
      </w:r>
      <w:r>
        <w:rPr>
          <w:rFonts w:hint="eastAsia" w:ascii="Times New Roman" w:hAnsi="Times New Roman"/>
          <w:color w:val="000000"/>
          <w:sz w:val="24"/>
          <w:szCs w:val="24"/>
          <w:highlight w:val="none"/>
          <w:lang w:eastAsia="zh-CN"/>
        </w:rPr>
        <w:t xml:space="preserve">农村污水处理系统运维考核工作包括：根据《江宁区农村污水处理设施建设与运维</w:t>
      </w:r>
      <w:r/>
    </w:p>
    <w:p>
      <w:pPr>
        <w:pStyle w:val="700"/>
        <w:ind w:left="0" w:firstLine="0"/>
        <w:rPr>
          <w:rFonts w:hint="eastAsia" w:eastAsia="宋体"/>
          <w:highlight w:val="none"/>
          <w:lang w:val="en-US" w:eastAsia="zh-CN"/>
        </w:rPr>
      </w:pPr>
      <w:r>
        <w:rPr>
          <w:rFonts w:hint="eastAsia" w:ascii="Times New Roman" w:hAnsi="Times New Roman"/>
          <w:color w:val="000000"/>
          <w:sz w:val="24"/>
          <w:szCs w:val="24"/>
          <w:highlight w:val="none"/>
          <w:lang w:eastAsia="zh-CN"/>
        </w:rPr>
        <w:t xml:space="preserve">考核办法》要求，综合</w:t>
      </w:r>
      <w:r>
        <w:rPr>
          <w:rFonts w:hint="eastAsia" w:ascii="Times New Roman" w:hAnsi="Times New Roman"/>
          <w:color w:val="000000"/>
          <w:sz w:val="24"/>
          <w:szCs w:val="24"/>
          <w:highlight w:val="none"/>
        </w:rPr>
        <w:t xml:space="preserve">日常运维情况</w:t>
      </w:r>
      <w:r>
        <w:rPr>
          <w:rFonts w:hint="eastAsia" w:ascii="Times New Roman" w:hAnsi="Times New Roman"/>
          <w:color w:val="000000"/>
          <w:sz w:val="24"/>
          <w:szCs w:val="24"/>
          <w:highlight w:val="none"/>
          <w:lang w:eastAsia="zh-CN"/>
        </w:rPr>
        <w:t xml:space="preserve">管理和</w:t>
      </w:r>
      <w:r>
        <w:rPr>
          <w:rFonts w:hint="eastAsia" w:ascii="Times New Roman" w:hAnsi="Times New Roman"/>
          <w:color w:val="000000"/>
          <w:sz w:val="24"/>
          <w:szCs w:val="24"/>
          <w:highlight w:val="none"/>
        </w:rPr>
        <w:t xml:space="preserve">进出水水质监测工作</w:t>
      </w:r>
      <w:r>
        <w:rPr>
          <w:rFonts w:hint="eastAsia" w:ascii="Times New Roman" w:hAnsi="Times New Roman"/>
          <w:color w:val="000000"/>
          <w:sz w:val="24"/>
          <w:szCs w:val="24"/>
          <w:highlight w:val="none"/>
          <w:lang w:eastAsia="zh-CN"/>
        </w:rPr>
        <w:t xml:space="preserve">结果，为区水务局每季度对农污系统运维单位的运维情况考核提供技术支撑，作为农村长效管护资金拨付依据。</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（二）工作目标。</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服务期内</w:t>
      </w:r>
      <w:r>
        <w:rPr>
          <w:rFonts w:hint="eastAsia" w:ascii="Times New Roman" w:hAnsi="Times New Roman"/>
          <w:color w:val="000000"/>
          <w:sz w:val="24"/>
          <w:szCs w:val="24"/>
          <w:highlight w:val="none"/>
          <w:lang w:eastAsia="zh-CN"/>
        </w:rPr>
        <w:t xml:space="preserve">乙方</w:t>
      </w:r>
      <w:r>
        <w:rPr>
          <w:rFonts w:hint="eastAsia" w:ascii="Times New Roman" w:hAnsi="Times New Roman"/>
          <w:color w:val="000000"/>
          <w:sz w:val="24"/>
          <w:szCs w:val="24"/>
          <w:highlight w:val="none"/>
        </w:rPr>
        <w:t xml:space="preserve">工作目标包括：通过对农污设施运维单位的监管和巡查，提升农村污水处理设施运维水平，对农村污水处理系统的排水源头溯源排查、农户生活污水接入、非生活污水接入、内部污水管网运维、终端处理设施运维等情况进行每季度全覆盖巡查，实现全区农污设施污水管网畅通、终端设施完好、出水水质达标、安全管理到位、台账资料齐全。具体任务指标为：</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1、污水管网畅通：管网及检查井、隔油池、格栅等附属设施内无杂物、垃圾、积泥，污水正常进入处理设施；</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2、终端设施完好：终端设施的控制柜、提升泵、曝气机、流量计及一体化设施等能正常运行；</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3、内部管网完好：管网无破损、老化、混接；</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4、溯源排查准确：及时摸底非生活污水来源，排查掌握出水水质不达标原因并上报；</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5、出水水质达标：设施出水水质符合《农村生活污水处理设施水污染物排放标准》（江苏省地方标准DB32/3462-2020）中规定排放标准； </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6、安全管理到位：各类安全制度完善，运维单位安全检查架构完备，检查井盖、站点围栏、安全警示牌等设施完好，设施运行正常，运维人员无伤亡。</w:t>
      </w:r>
      <w:r/>
    </w:p>
    <w:p>
      <w:pPr>
        <w:ind w:firstLine="48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7、台账资料齐全：各类运维工作计划、报告、记录填写、整理、归档及时齐全规范。</w:t>
      </w:r>
      <w:r/>
    </w:p>
    <w:p>
      <w:pPr>
        <w:ind w:firstLine="442"/>
        <w:jc w:val="left"/>
        <w:keepLines w:val="0"/>
        <w:keepNext w:val="0"/>
        <w:pageBreakBefore w:val="0"/>
        <w:spacing w:line="360" w:lineRule="auto"/>
        <w:widowControl w:val="off"/>
        <w:rPr>
          <w:rFonts w:hint="eastAsia" w:ascii="宋体" w:hAnsi="宋体" w:eastAsia="宋体" w:cs="Times New Roman"/>
          <w:b/>
          <w:color w:val="000000"/>
          <w:sz w:val="22"/>
          <w:szCs w:val="22"/>
          <w:highlight w:val="none"/>
          <w:lang w:eastAsia="zh-CN"/>
        </w:rPr>
      </w:pPr>
      <w:r>
        <w:rPr>
          <w:rFonts w:hint="eastAsia" w:ascii="宋体" w:hAnsi="宋体" w:eastAsia="宋体" w:cs="Times New Roman"/>
          <w:b/>
          <w:color w:val="000000"/>
          <w:sz w:val="22"/>
          <w:szCs w:val="22"/>
          <w:highlight w:val="none"/>
          <w:lang w:eastAsia="zh-CN"/>
        </w:rPr>
        <w:t xml:space="preserve">三</w:t>
      </w:r>
      <w:r>
        <w:rPr>
          <w:rFonts w:hint="eastAsia" w:ascii="宋体" w:hAnsi="宋体" w:eastAsia="宋体" w:cs="Times New Roman"/>
          <w:b/>
          <w:color w:val="000000"/>
          <w:sz w:val="22"/>
          <w:szCs w:val="22"/>
          <w:highlight w:val="none"/>
        </w:rPr>
        <w:t xml:space="preserve">、</w:t>
      </w:r>
      <w:r>
        <w:rPr>
          <w:rFonts w:hint="eastAsia" w:ascii="宋体" w:hAnsi="宋体" w:eastAsia="宋体" w:cs="Times New Roman"/>
          <w:b/>
          <w:color w:val="000000"/>
          <w:sz w:val="22"/>
          <w:szCs w:val="22"/>
          <w:highlight w:val="none"/>
          <w:lang w:eastAsia="zh-CN"/>
        </w:rPr>
        <w:t xml:space="preserve">考核要求</w:t>
      </w:r>
      <w:r/>
    </w:p>
    <w:p>
      <w:pPr>
        <w:ind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甲方对乙方的考核细则遵循甲方制定的《南京市江宁区农村污水处理系统建设和运维管理技术服务考核细则》如下:</w:t>
      </w:r>
      <w:r/>
    </w:p>
    <w:tbl>
      <w:tblPr>
        <w:tblStyle w:val="699"/>
        <w:tblW w:w="11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176"/>
        <w:gridCol w:w="1727"/>
        <w:gridCol w:w="5493"/>
        <w:gridCol w:w="1314"/>
        <w:gridCol w:w="1237"/>
      </w:tblGrid>
      <w:tr>
        <w:trPr>
          <w:jc w:val="center"/>
          <w:trHeight w:val="600"/>
        </w:trPr>
        <w:tc>
          <w:tcPr>
            <w:tcW w:w="585"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序号</w:t>
            </w:r>
            <w:r/>
          </w:p>
        </w:tc>
        <w:tc>
          <w:tcPr>
            <w:tcW w:w="1176"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指标</w:t>
            </w:r>
            <w:r/>
          </w:p>
        </w:tc>
        <w:tc>
          <w:tcPr>
            <w:tcW w:w="1727"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项目</w:t>
            </w:r>
            <w:r/>
          </w:p>
        </w:tc>
        <w:tc>
          <w:tcPr>
            <w:tcW w:w="5493"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内容</w:t>
            </w:r>
            <w:r/>
          </w:p>
        </w:tc>
        <w:tc>
          <w:tcPr>
            <w:tcW w:w="1314"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分值</w:t>
            </w:r>
            <w:r/>
          </w:p>
        </w:tc>
        <w:tc>
          <w:tcPr>
            <w:tcW w:w="1237"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备注</w:t>
            </w:r>
            <w:r/>
          </w:p>
        </w:tc>
      </w:tr>
      <w:tr>
        <w:trPr>
          <w:jc w:val="center"/>
          <w:trHeight w:val="1780"/>
        </w:trPr>
        <w:tc>
          <w:tcPr>
            <w:tcW w:w="585"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1</w:t>
            </w:r>
            <w:r/>
          </w:p>
        </w:tc>
        <w:tc>
          <w:tcPr>
            <w:tcW w:w="1176"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基础工作</w:t>
            </w:r>
            <w:r/>
          </w:p>
        </w:tc>
        <w:tc>
          <w:tcPr>
            <w:tcW w:w="1727" w:type="dxa"/>
            <w:vAlign w:val="center"/>
            <w:textDirection w:val="lrTb"/>
            <w:noWrap/>
          </w:tcPr>
          <w:p>
            <w:pPr>
              <w:jc w:val="both"/>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工作方案与制度制定</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制定农村污水系统巡查及农污终端设施进出水水质检测工作方案、计划，明确工作程序，任务内容，时间安排等。落实岗位责任制，建立日常管理制度，落实考勤机制。相关方案或制度欠规范</w:t>
            </w: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或</w:t>
            </w:r>
            <w:r>
              <w:rPr>
                <w:rFonts w:ascii="方正仿宋简体" w:hAnsi="方正仿宋简体" w:eastAsia="方正仿宋简体" w:cs="方正仿宋简体"/>
                <w:i w:val="0"/>
                <w:iCs w:val="0"/>
                <w:color w:val="000000"/>
                <w:sz w:val="21"/>
                <w:szCs w:val="21"/>
                <w:highlight w:val="none"/>
                <w:u w:val="none"/>
                <w:lang w:val="en-US" w:eastAsia="zh-CN" w:bidi="ar"/>
              </w:rPr>
              <w:t xml:space="preserve">不执行的缺少一项扣</w:t>
            </w:r>
            <w:r>
              <w:rPr>
                <w:rFonts w:ascii="Times New Roman" w:hAnsi="Times New Roman" w:eastAsia="等线" w:cs="Times New Roman"/>
                <w:i w:val="0"/>
                <w:iCs w:val="0"/>
                <w:color w:val="000000"/>
                <w:sz w:val="21"/>
                <w:szCs w:val="21"/>
                <w:highlight w:val="none"/>
                <w:u w:val="none"/>
                <w:lang w:val="en-US" w:eastAsia="zh-CN" w:bidi="ar"/>
              </w:rPr>
              <w:t xml:space="preserve">1</w:t>
            </w:r>
            <w:r>
              <w:rPr>
                <w:rFonts w:ascii="方正仿宋简体" w:hAnsi="方正仿宋简体" w:eastAsia="方正仿宋简体" w:cs="方正仿宋简体"/>
                <w:i w:val="0"/>
                <w:iCs w:val="0"/>
                <w:color w:val="000000"/>
                <w:sz w:val="21"/>
                <w:szCs w:val="21"/>
                <w:highlight w:val="none"/>
                <w:u w:val="none"/>
                <w:lang w:val="en-US" w:eastAsia="zh-CN" w:bidi="ar"/>
              </w:rPr>
              <w:t xml:space="preserve">分。</w:t>
            </w:r>
            <w:r/>
          </w:p>
        </w:tc>
        <w:tc>
          <w:tcPr>
            <w:tcW w:w="1314"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hint="eastAsia" w:ascii="Times New Roman" w:hAnsi="Times New Roman" w:eastAsia="等线" w:cs="Times New Roman"/>
                <w:i w:val="0"/>
                <w:iCs w:val="0"/>
                <w:color w:val="000000"/>
                <w:sz w:val="21"/>
                <w:szCs w:val="21"/>
                <w:highlight w:val="none"/>
                <w:u w:val="none"/>
                <w:lang w:val="en-US" w:eastAsia="zh-CN" w:bidi="ar"/>
              </w:rPr>
              <w:t xml:space="preserve">2</w:t>
            </w:r>
            <w:r/>
          </w:p>
        </w:tc>
        <w:tc>
          <w:tcPr>
            <w:tcW w:w="1237" w:type="dxa"/>
            <w:vAlign w:val="bottom"/>
            <w:textDirection w:val="lrTb"/>
            <w:noWrap/>
          </w:tcPr>
          <w:p>
            <w:pP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2240"/>
        </w:trPr>
        <w:tc>
          <w:tcPr>
            <w:tcW w:w="585" w:type="dxa"/>
            <w:vAlign w:val="center"/>
            <w:vMerge w:val="restart"/>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2</w:t>
            </w:r>
            <w:r/>
          </w:p>
        </w:tc>
        <w:tc>
          <w:tcPr>
            <w:tcW w:w="1176" w:type="dxa"/>
            <w:vAlign w:val="center"/>
            <w:vMerge w:val="restart"/>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农污处理系统的建设与运维情况管理</w:t>
            </w:r>
            <w:r/>
          </w:p>
        </w:tc>
        <w:tc>
          <w:tcPr>
            <w:tcW w:w="1727"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检查考核</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对标段内自然村的农村污水处理系统的排水源头溯源排查、农户生活污水接入、非生活污水接入、内部污水管网运维、终端处理设施运维等情况进行四轮全覆盖巡查</w:t>
            </w:r>
            <w:r>
              <w:rPr>
                <w:rFonts w:ascii="Times New Roman" w:hAnsi="Times New Roman" w:eastAsia="等线" w:cs="Times New Roman"/>
                <w:i w:val="0"/>
                <w:iCs w:val="0"/>
                <w:color w:val="000000"/>
                <w:sz w:val="21"/>
                <w:szCs w:val="21"/>
                <w:highlight w:val="none"/>
                <w:u w:val="none"/>
                <w:lang w:val="en-US" w:eastAsia="zh-CN" w:bidi="ar"/>
              </w:rPr>
              <w:t xml:space="preserve">,</w:t>
            </w:r>
            <w:r>
              <w:rPr>
                <w:rFonts w:ascii="方正仿宋简体" w:hAnsi="方正仿宋简体" w:eastAsia="方正仿宋简体" w:cs="方正仿宋简体"/>
                <w:i w:val="0"/>
                <w:iCs w:val="0"/>
                <w:color w:val="000000"/>
                <w:sz w:val="21"/>
                <w:szCs w:val="21"/>
                <w:highlight w:val="none"/>
                <w:u w:val="none"/>
                <w:lang w:val="en-US" w:eastAsia="zh-CN" w:bidi="ar"/>
              </w:rPr>
              <w:t xml:space="preserve">巡查发现的问题及时向行业主管部门汇报。</w:t>
            </w: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我局每月将组织一次现场巡查考核，发现上述问题但技术服务单位在日常巡查中</w:t>
            </w:r>
            <w:r>
              <w:rPr>
                <w:rFonts w:ascii="方正仿宋简体" w:hAnsi="方正仿宋简体" w:eastAsia="方正仿宋简体" w:cs="方正仿宋简体"/>
                <w:i w:val="0"/>
                <w:iCs w:val="0"/>
                <w:color w:val="000000"/>
                <w:sz w:val="21"/>
                <w:szCs w:val="21"/>
                <w:highlight w:val="none"/>
                <w:u w:val="none"/>
                <w:lang w:val="en-US" w:eastAsia="zh-CN" w:bidi="ar"/>
              </w:rPr>
              <w:t xml:space="preserve">未</w:t>
            </w: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排查到位</w:t>
            </w:r>
            <w:r>
              <w:rPr>
                <w:rFonts w:ascii="方正仿宋简体" w:hAnsi="方正仿宋简体" w:eastAsia="方正仿宋简体" w:cs="方正仿宋简体"/>
                <w:i w:val="0"/>
                <w:iCs w:val="0"/>
                <w:color w:val="000000"/>
                <w:sz w:val="21"/>
                <w:szCs w:val="21"/>
                <w:highlight w:val="none"/>
                <w:u w:val="none"/>
                <w:lang w:val="en-US" w:eastAsia="zh-CN" w:bidi="ar"/>
              </w:rPr>
              <w:t xml:space="preserve">或未及时汇报的，一次扣</w:t>
            </w:r>
            <w:r>
              <w:rPr>
                <w:rFonts w:hint="eastAsia" w:ascii="Times New Roman" w:hAnsi="Times New Roman" w:eastAsia="等线" w:cs="Times New Roman"/>
                <w:i w:val="0"/>
                <w:iCs w:val="0"/>
                <w:color w:val="000000"/>
                <w:sz w:val="21"/>
                <w:szCs w:val="21"/>
                <w:highlight w:val="none"/>
                <w:u w:val="none"/>
                <w:lang w:val="en-US" w:eastAsia="zh-CN" w:bidi="ar"/>
              </w:rPr>
              <w:t xml:space="preserve">2</w:t>
            </w:r>
            <w:r>
              <w:rPr>
                <w:rFonts w:ascii="方正仿宋简体" w:hAnsi="方正仿宋简体" w:eastAsia="方正仿宋简体" w:cs="方正仿宋简体"/>
                <w:i w:val="0"/>
                <w:iCs w:val="0"/>
                <w:color w:val="000000"/>
                <w:sz w:val="21"/>
                <w:szCs w:val="21"/>
                <w:highlight w:val="none"/>
                <w:u w:val="none"/>
                <w:lang w:val="en-US" w:eastAsia="zh-CN" w:bidi="ar"/>
              </w:rPr>
              <w:t xml:space="preserve">分。</w:t>
            </w:r>
            <w:r/>
          </w:p>
        </w:tc>
        <w:tc>
          <w:tcPr>
            <w:tcW w:w="1314"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rPr>
              <w:suppressLineNumbers w:val="0"/>
            </w:pPr>
            <w:r>
              <w:rPr>
                <w:rFonts w:hint="eastAsia" w:ascii="Times New Roman" w:hAnsi="Times New Roman" w:eastAsia="等线" w:cs="Times New Roman"/>
                <w:i w:val="0"/>
                <w:iCs w:val="0"/>
                <w:color w:val="000000"/>
                <w:sz w:val="21"/>
                <w:szCs w:val="21"/>
                <w:highlight w:val="none"/>
                <w:u w:val="none"/>
                <w:lang w:val="en-US" w:eastAsia="zh-CN" w:bidi="ar"/>
              </w:rPr>
              <w:t xml:space="preserve">20</w:t>
            </w:r>
            <w:r/>
          </w:p>
        </w:tc>
        <w:tc>
          <w:tcPr>
            <w:tcW w:w="1237" w:type="dxa"/>
            <w:vAlign w:val="bottom"/>
            <w:textDirection w:val="lrTb"/>
            <w:noWrap/>
          </w:tcPr>
          <w:p>
            <w:pP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2240"/>
        </w:trPr>
        <w:tc>
          <w:tcPr>
            <w:tcW w:w="585" w:type="dxa"/>
            <w:vAlign w:val="center"/>
            <w:vMerge w:val="continue"/>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lang w:val="en-US" w:eastAsia="zh-CN" w:bidi="ar"/>
              </w:rPr>
              <w:suppressLineNumbers w:val="0"/>
            </w:pPr>
            <w:r>
              <w:rPr>
                <w:rFonts w:ascii="Times New Roman" w:hAnsi="Times New Roman" w:eastAsia="等线" w:cs="Times New Roman"/>
                <w:i w:val="0"/>
                <w:iCs w:val="0"/>
                <w:color w:val="000000"/>
                <w:sz w:val="21"/>
                <w:szCs w:val="21"/>
                <w:highlight w:val="none"/>
                <w:u w:val="none"/>
                <w:lang w:val="en-US" w:eastAsia="zh-CN" w:bidi="ar"/>
              </w:rPr>
            </w:r>
            <w:r/>
          </w:p>
        </w:tc>
        <w:tc>
          <w:tcPr>
            <w:tcW w:w="1176" w:type="dxa"/>
            <w:vAlign w:val="center"/>
            <w:vMerge w:val="continue"/>
            <w:textDirection w:val="lrTb"/>
            <w:noWrap w:val="false"/>
          </w:tcPr>
          <w:p>
            <w:pPr>
              <w:jc w:val="center"/>
              <w:keepLines w:val="0"/>
              <w:keepNext w:val="0"/>
              <w:pageBreakBefore w:val="0"/>
              <w:spacing w:line="560" w:lineRule="exact"/>
              <w:widowControl/>
              <w:rPr>
                <w:rFonts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r>
            <w:r/>
          </w:p>
        </w:tc>
        <w:tc>
          <w:tcPr>
            <w:tcW w:w="1727"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闭环</w:t>
            </w:r>
            <w:r>
              <w:rPr>
                <w:rFonts w:ascii="方正仿宋简体" w:hAnsi="方正仿宋简体" w:eastAsia="方正仿宋简体" w:cs="方正仿宋简体"/>
                <w:i w:val="0"/>
                <w:iCs w:val="0"/>
                <w:color w:val="000000"/>
                <w:sz w:val="21"/>
                <w:szCs w:val="21"/>
                <w:highlight w:val="none"/>
                <w:u w:val="none"/>
                <w:lang w:val="en-US" w:eastAsia="zh-CN" w:bidi="ar"/>
              </w:rPr>
              <w:t xml:space="preserve">考核</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全覆盖巡查中发现的问题，技术服务单位应及时通知运维单位，要求限时整改反馈，并后续针对性开展“回头看”形成闭环</w:t>
            </w:r>
            <w:r>
              <w:rPr>
                <w:rFonts w:ascii="方正仿宋简体" w:hAnsi="方正仿宋简体" w:eastAsia="方正仿宋简体" w:cs="方正仿宋简体"/>
                <w:i w:val="0"/>
                <w:iCs w:val="0"/>
                <w:color w:val="000000"/>
                <w:sz w:val="21"/>
                <w:szCs w:val="21"/>
                <w:highlight w:val="none"/>
                <w:u w:val="none"/>
                <w:lang w:val="en-US" w:eastAsia="zh-CN" w:bidi="ar"/>
              </w:rPr>
              <w:t xml:space="preserve">。</w:t>
            </w: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我局每月将组织一次问题梳理，发现巡查问题未限期闭环</w:t>
            </w:r>
            <w:r>
              <w:rPr>
                <w:rFonts w:ascii="方正仿宋简体" w:hAnsi="方正仿宋简体" w:eastAsia="方正仿宋简体" w:cs="方正仿宋简体"/>
                <w:i w:val="0"/>
                <w:iCs w:val="0"/>
                <w:color w:val="000000"/>
                <w:sz w:val="21"/>
                <w:szCs w:val="21"/>
                <w:highlight w:val="none"/>
                <w:u w:val="none"/>
                <w:lang w:val="en-US" w:eastAsia="zh-CN" w:bidi="ar"/>
              </w:rPr>
              <w:t xml:space="preserve">的，一次扣</w:t>
            </w:r>
            <w:r>
              <w:rPr>
                <w:rFonts w:hint="eastAsia" w:ascii="Times New Roman" w:hAnsi="Times New Roman" w:eastAsia="等线" w:cs="Times New Roman"/>
                <w:i w:val="0"/>
                <w:iCs w:val="0"/>
                <w:color w:val="000000"/>
                <w:sz w:val="21"/>
                <w:szCs w:val="21"/>
                <w:highlight w:val="none"/>
                <w:u w:val="none"/>
                <w:lang w:val="en-US" w:eastAsia="zh-CN" w:bidi="ar"/>
              </w:rPr>
              <w:t xml:space="preserve">2</w:t>
            </w:r>
            <w:r>
              <w:rPr>
                <w:rFonts w:ascii="方正仿宋简体" w:hAnsi="方正仿宋简体" w:eastAsia="方正仿宋简体" w:cs="方正仿宋简体"/>
                <w:i w:val="0"/>
                <w:iCs w:val="0"/>
                <w:color w:val="000000"/>
                <w:sz w:val="21"/>
                <w:szCs w:val="21"/>
                <w:highlight w:val="none"/>
                <w:u w:val="none"/>
                <w:lang w:val="en-US" w:eastAsia="zh-CN" w:bidi="ar"/>
              </w:rPr>
              <w:t xml:space="preserve">分。</w:t>
            </w:r>
            <w:r/>
          </w:p>
        </w:tc>
        <w:tc>
          <w:tcPr>
            <w:tcW w:w="1314" w:type="dxa"/>
            <w:vAlign w:val="center"/>
            <w:textDirection w:val="lrTb"/>
            <w:noWrap/>
          </w:tcPr>
          <w:p>
            <w:pPr>
              <w:jc w:val="center"/>
              <w:keepLines w:val="0"/>
              <w:keepNext w:val="0"/>
              <w:pageBreakBefore w:val="0"/>
              <w:spacing w:line="560" w:lineRule="exact"/>
              <w:widowControl/>
              <w:rPr>
                <w:rFonts w:hint="eastAsia" w:ascii="Times New Roman" w:hAnsi="Times New Roman" w:eastAsia="等线" w:cs="Times New Roman"/>
                <w:i w:val="0"/>
                <w:iCs w:val="0"/>
                <w:color w:val="000000"/>
                <w:sz w:val="21"/>
                <w:szCs w:val="21"/>
                <w:highlight w:val="none"/>
                <w:u w:val="none"/>
                <w:lang w:val="en-US" w:eastAsia="zh-CN" w:bidi="ar-SA"/>
              </w:rPr>
              <w:suppressLineNumbers w:val="0"/>
            </w:pPr>
            <w:r>
              <w:rPr>
                <w:rFonts w:hint="eastAsia" w:ascii="Times New Roman" w:hAnsi="Times New Roman" w:eastAsia="等线" w:cs="Times New Roman"/>
                <w:i w:val="0"/>
                <w:iCs w:val="0"/>
                <w:color w:val="000000"/>
                <w:sz w:val="21"/>
                <w:szCs w:val="21"/>
                <w:highlight w:val="none"/>
                <w:u w:val="none"/>
                <w:lang w:val="en-US" w:eastAsia="zh-CN" w:bidi="ar"/>
              </w:rPr>
              <w:t xml:space="preserve">20</w:t>
            </w:r>
            <w:r/>
          </w:p>
        </w:tc>
        <w:tc>
          <w:tcPr>
            <w:tcW w:w="1237" w:type="dxa"/>
            <w:vAlign w:val="bottom"/>
            <w:textDirection w:val="lrTb"/>
            <w:noWrap/>
          </w:tcPr>
          <w:p>
            <w:pP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758"/>
        </w:trPr>
        <w:tc>
          <w:tcPr>
            <w:tcW w:w="585" w:type="dxa"/>
            <w:vAlign w:val="center"/>
            <w:vMerge w:val="restart"/>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3</w:t>
            </w:r>
            <w:r/>
          </w:p>
        </w:tc>
        <w:tc>
          <w:tcPr>
            <w:tcW w:w="1176" w:type="dxa"/>
            <w:vAlign w:val="center"/>
            <w:vMerge w:val="restart"/>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农污终端设施水质检测</w:t>
            </w:r>
            <w:r/>
          </w:p>
        </w:tc>
        <w:tc>
          <w:tcPr>
            <w:tcW w:w="1727"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检测</w:t>
            </w:r>
            <w:r>
              <w:rPr>
                <w:rFonts w:ascii="方正仿宋简体" w:hAnsi="方正仿宋简体" w:eastAsia="方正仿宋简体" w:cs="方正仿宋简体"/>
                <w:i w:val="0"/>
                <w:iCs w:val="0"/>
                <w:color w:val="000000"/>
                <w:sz w:val="21"/>
                <w:szCs w:val="21"/>
                <w:highlight w:val="none"/>
                <w:u w:val="none"/>
                <w:lang w:val="en-US" w:eastAsia="zh-CN" w:bidi="ar"/>
              </w:rPr>
              <w:t xml:space="preserve">考核</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对标段服务范围内的农村污水处理终端设施的进出水开展抽检，水质检测必须安排具有相关检测资质的公司进行。将相关检测结果于取样后</w:t>
            </w:r>
            <w:r>
              <w:rPr>
                <w:rFonts w:ascii="Times New Roman" w:hAnsi="Times New Roman" w:eastAsia="等线" w:cs="Times New Roman"/>
                <w:i w:val="0"/>
                <w:iCs w:val="0"/>
                <w:color w:val="000000"/>
                <w:sz w:val="21"/>
                <w:szCs w:val="21"/>
                <w:highlight w:val="none"/>
                <w:u w:val="none"/>
                <w:lang w:val="en-US" w:eastAsia="zh-CN" w:bidi="ar"/>
              </w:rPr>
              <w:t xml:space="preserve">7</w:t>
            </w:r>
            <w:r>
              <w:rPr>
                <w:rFonts w:ascii="方正仿宋简体" w:hAnsi="方正仿宋简体" w:eastAsia="方正仿宋简体" w:cs="方正仿宋简体"/>
                <w:i w:val="0"/>
                <w:iCs w:val="0"/>
                <w:color w:val="000000"/>
                <w:sz w:val="21"/>
                <w:szCs w:val="21"/>
                <w:highlight w:val="none"/>
                <w:u w:val="none"/>
                <w:lang w:val="en-US" w:eastAsia="zh-CN" w:bidi="ar"/>
              </w:rPr>
              <w:t xml:space="preserve">个工作日内报送行业主管部门，并对结果存在问题的设施情况进行检查分析，找出问题所在。水质检测工作开展不合标准或数据报送不及时的，</w:t>
            </w: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一套设施</w:t>
            </w:r>
            <w:r>
              <w:rPr>
                <w:rFonts w:ascii="方正仿宋简体" w:hAnsi="方正仿宋简体" w:eastAsia="方正仿宋简体" w:cs="方正仿宋简体"/>
                <w:i w:val="0"/>
                <w:iCs w:val="0"/>
                <w:color w:val="000000"/>
                <w:sz w:val="21"/>
                <w:szCs w:val="21"/>
                <w:highlight w:val="none"/>
                <w:u w:val="none"/>
                <w:lang w:val="en-US" w:eastAsia="zh-CN" w:bidi="ar"/>
              </w:rPr>
              <w:t xml:space="preserve">扣</w:t>
            </w:r>
            <w:r>
              <w:rPr>
                <w:rFonts w:ascii="Times New Roman" w:hAnsi="Times New Roman" w:eastAsia="等线" w:cs="Times New Roman"/>
                <w:i w:val="0"/>
                <w:iCs w:val="0"/>
                <w:color w:val="000000"/>
                <w:sz w:val="21"/>
                <w:szCs w:val="21"/>
                <w:highlight w:val="none"/>
                <w:u w:val="none"/>
                <w:lang w:val="en-US" w:eastAsia="zh-CN" w:bidi="ar"/>
              </w:rPr>
              <w:t xml:space="preserve">1</w:t>
            </w:r>
            <w:r>
              <w:rPr>
                <w:rFonts w:ascii="方正仿宋简体" w:hAnsi="方正仿宋简体" w:eastAsia="方正仿宋简体" w:cs="方正仿宋简体"/>
                <w:i w:val="0"/>
                <w:iCs w:val="0"/>
                <w:color w:val="000000"/>
                <w:sz w:val="21"/>
                <w:szCs w:val="21"/>
                <w:highlight w:val="none"/>
                <w:u w:val="none"/>
                <w:lang w:val="en-US" w:eastAsia="zh-CN" w:bidi="ar"/>
              </w:rPr>
              <w:t xml:space="preserve">分。</w:t>
            </w:r>
            <w:r/>
          </w:p>
        </w:tc>
        <w:tc>
          <w:tcPr>
            <w:tcW w:w="1314"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rPr>
              <w:suppressLineNumbers w:val="0"/>
            </w:pPr>
            <w:r>
              <w:rPr>
                <w:rFonts w:hint="eastAsia" w:ascii="Times New Roman" w:hAnsi="Times New Roman" w:eastAsia="等线" w:cs="Times New Roman"/>
                <w:i w:val="0"/>
                <w:iCs w:val="0"/>
                <w:color w:val="000000"/>
                <w:sz w:val="21"/>
                <w:szCs w:val="21"/>
                <w:highlight w:val="none"/>
                <w:u w:val="none"/>
                <w:lang w:val="en-US" w:eastAsia="zh-CN" w:bidi="ar"/>
              </w:rPr>
              <w:t xml:space="preserve">20</w:t>
            </w:r>
            <w:r/>
          </w:p>
        </w:tc>
        <w:tc>
          <w:tcPr>
            <w:tcW w:w="1237" w:type="dxa"/>
            <w:vAlign w:val="bottom"/>
            <w:textDirection w:val="lrTb"/>
            <w:noWrap/>
          </w:tcPr>
          <w:p>
            <w:pP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2240"/>
        </w:trPr>
        <w:tc>
          <w:tcPr>
            <w:tcW w:w="585" w:type="dxa"/>
            <w:vAlign w:val="center"/>
            <w:vMerge w:val="continue"/>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lang w:val="en-US" w:eastAsia="zh-CN" w:bidi="ar"/>
              </w:rPr>
              <w:suppressLineNumbers w:val="0"/>
            </w:pPr>
            <w:r>
              <w:rPr>
                <w:rFonts w:ascii="Times New Roman" w:hAnsi="Times New Roman" w:eastAsia="等线" w:cs="Times New Roman"/>
                <w:i w:val="0"/>
                <w:iCs w:val="0"/>
                <w:color w:val="000000"/>
                <w:sz w:val="21"/>
                <w:szCs w:val="21"/>
                <w:highlight w:val="none"/>
                <w:u w:val="none"/>
                <w:lang w:val="en-US" w:eastAsia="zh-CN" w:bidi="ar"/>
              </w:rPr>
            </w:r>
            <w:r/>
          </w:p>
        </w:tc>
        <w:tc>
          <w:tcPr>
            <w:tcW w:w="1176" w:type="dxa"/>
            <w:vAlign w:val="center"/>
            <w:vMerge w:val="continue"/>
            <w:textDirection w:val="lrTb"/>
            <w:noWrap w:val="false"/>
          </w:tcPr>
          <w:p>
            <w:pPr>
              <w:jc w:val="center"/>
              <w:keepLines w:val="0"/>
              <w:keepNext w:val="0"/>
              <w:pageBreakBefore w:val="0"/>
              <w:spacing w:line="560" w:lineRule="exact"/>
              <w:widowControl/>
              <w:rPr>
                <w:rFonts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r>
            <w:r/>
          </w:p>
        </w:tc>
        <w:tc>
          <w:tcPr>
            <w:tcW w:w="1727"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闭环考核</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针对进出水水质检测异常点位，技术服务单位应及时通知运维单位，要求限时整改反馈，并协助开展现场摸排，收集整改方案形成闭环。我局每季度将组织一次问题梳理，发现水质问题未限期闭环的，一次扣</w:t>
            </w:r>
            <w:r>
              <w:rPr>
                <w:rFonts w:ascii="Times New Roman" w:hAnsi="Times New Roman" w:eastAsia="等线" w:cs="Times New Roman"/>
                <w:i w:val="0"/>
                <w:iCs w:val="0"/>
                <w:color w:val="000000"/>
                <w:sz w:val="21"/>
                <w:szCs w:val="21"/>
                <w:highlight w:val="none"/>
                <w:u w:val="none"/>
                <w:lang w:val="en-US" w:eastAsia="zh-CN" w:bidi="ar"/>
              </w:rPr>
              <w:t xml:space="preserve">2</w:t>
            </w:r>
            <w:r>
              <w:rPr>
                <w:rFonts w:ascii="Times New Roman" w:hAnsi="Times New Roman" w:eastAsia="方正仿宋简体" w:cs="Times New Roman"/>
                <w:i w:val="0"/>
                <w:iCs w:val="0"/>
                <w:color w:val="000000"/>
                <w:sz w:val="21"/>
                <w:szCs w:val="21"/>
                <w:highlight w:val="none"/>
                <w:u w:val="none"/>
                <w:lang w:val="en-US" w:eastAsia="zh-CN" w:bidi="ar"/>
              </w:rPr>
              <w:t xml:space="preserve">分。</w:t>
            </w:r>
            <w:r/>
          </w:p>
        </w:tc>
        <w:tc>
          <w:tcPr>
            <w:tcW w:w="1314"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20</w:t>
            </w:r>
            <w:r/>
          </w:p>
        </w:tc>
        <w:tc>
          <w:tcPr>
            <w:tcW w:w="1237" w:type="dxa"/>
            <w:vAlign w:val="bottom"/>
            <w:textDirection w:val="lrTb"/>
            <w:noWrap/>
          </w:tcPr>
          <w:p>
            <w:pP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1425"/>
        </w:trPr>
        <w:tc>
          <w:tcPr>
            <w:tcW w:w="585"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4</w:t>
            </w:r>
            <w:r/>
          </w:p>
        </w:tc>
        <w:tc>
          <w:tcPr>
            <w:tcW w:w="1176"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农村污水处理系统运维考核</w:t>
            </w:r>
            <w:r/>
          </w:p>
        </w:tc>
        <w:tc>
          <w:tcPr>
            <w:tcW w:w="1727"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工作开展</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每季度需综合日常运维情况管理和进出水水质监测工作结果，辅助行业主管部门对农污系统运维单位的运维情况进行考核。季度考核工作开展不及时或不全面的，一次扣3分</w:t>
            </w:r>
            <w:r/>
          </w:p>
        </w:tc>
        <w:tc>
          <w:tcPr>
            <w:tcW w:w="1314"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12</w:t>
            </w:r>
            <w:r/>
          </w:p>
        </w:tc>
        <w:tc>
          <w:tcPr>
            <w:tcW w:w="1237" w:type="dxa"/>
            <w:vAlign w:val="bottom"/>
            <w:textDirection w:val="lrTb"/>
            <w:noWrap/>
          </w:tcPr>
          <w:p>
            <w:pP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1200"/>
        </w:trPr>
        <w:tc>
          <w:tcPr>
            <w:tcW w:w="585"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lang w:val="en-US" w:eastAsia="zh-CN" w:bidi="ar"/>
              </w:rPr>
              <w:suppressLineNumbers w:val="0"/>
            </w:pPr>
            <w:r>
              <w:rPr>
                <w:rFonts w:hint="eastAsia" w:ascii="Times New Roman" w:hAnsi="Times New Roman" w:eastAsia="等线" w:cs="Times New Roman"/>
                <w:i w:val="0"/>
                <w:iCs w:val="0"/>
                <w:color w:val="000000"/>
                <w:sz w:val="21"/>
                <w:szCs w:val="21"/>
                <w:highlight w:val="none"/>
                <w:u w:val="none"/>
                <w:lang w:val="en-US" w:eastAsia="zh-CN" w:bidi="ar"/>
              </w:rPr>
              <w:t xml:space="preserve">5</w:t>
            </w:r>
            <w:r/>
          </w:p>
        </w:tc>
        <w:tc>
          <w:tcPr>
            <w:tcW w:w="1176" w:type="dxa"/>
            <w:vAlign w:val="center"/>
            <w:textDirection w:val="lrTb"/>
            <w:noWrap/>
          </w:tcPr>
          <w:p>
            <w:pPr>
              <w:jc w:val="center"/>
              <w:keepLines w:val="0"/>
              <w:keepNext w:val="0"/>
              <w:pageBreakBefore w:val="0"/>
              <w:spacing w:line="560" w:lineRule="exact"/>
              <w:widowControl/>
              <w:rPr>
                <w:rFonts w:ascii="方正仿宋简体" w:hAnsi="方正仿宋简体" w:eastAsia="方正仿宋简体" w:cs="方正仿宋简体"/>
                <w:i w:val="0"/>
                <w:iCs w:val="0"/>
                <w:color w:val="000000"/>
                <w:sz w:val="21"/>
                <w:szCs w:val="21"/>
                <w:highlight w:val="none"/>
                <w:u w:val="none"/>
                <w:lang w:val="en-US" w:eastAsia="zh-CN" w:bidi="ar"/>
              </w:rPr>
              <w:suppressLineNumbers w:val="0"/>
            </w:pP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台账整理</w:t>
            </w:r>
            <w:r/>
          </w:p>
        </w:tc>
        <w:tc>
          <w:tcPr>
            <w:tcW w:w="1727"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台账考核</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运维管理情况以及巡查情况形成日常巡检记录，每季度形成巡查报告，年终形成工作总结报告；异常水质检测结果需在取样后</w:t>
            </w:r>
            <w:r>
              <w:rPr>
                <w:rFonts w:ascii="Times New Roman" w:hAnsi="Times New Roman" w:eastAsia="等线" w:cs="Times New Roman"/>
                <w:i w:val="0"/>
                <w:iCs w:val="0"/>
                <w:color w:val="000000"/>
                <w:sz w:val="21"/>
                <w:szCs w:val="21"/>
                <w:highlight w:val="none"/>
                <w:u w:val="none"/>
                <w:lang w:val="en-US" w:eastAsia="zh-CN" w:bidi="ar"/>
              </w:rPr>
              <w:t xml:space="preserve">15</w:t>
            </w:r>
            <w:r>
              <w:rPr>
                <w:rFonts w:ascii="Times New Roman" w:hAnsi="Times New Roman" w:eastAsia="方正仿宋简体" w:cs="Times New Roman"/>
                <w:i w:val="0"/>
                <w:iCs w:val="0"/>
                <w:color w:val="000000"/>
                <w:sz w:val="21"/>
                <w:szCs w:val="21"/>
                <w:highlight w:val="none"/>
                <w:u w:val="none"/>
                <w:lang w:val="en-US" w:eastAsia="zh-CN" w:bidi="ar"/>
              </w:rPr>
              <w:t xml:space="preserve">个工作日内形成书面报告报送至区行业主管部门。相关台账资料需及时报送，我局每季度将组织一次台账资料考核，发现存在遗漏或未定期向行业主管部门上报台账资料的，一份报告扣</w:t>
            </w:r>
            <w:r>
              <w:rPr>
                <w:rFonts w:ascii="Times New Roman" w:hAnsi="Times New Roman" w:eastAsia="等线" w:cs="Times New Roman"/>
                <w:i w:val="0"/>
                <w:iCs w:val="0"/>
                <w:color w:val="000000"/>
                <w:sz w:val="21"/>
                <w:szCs w:val="21"/>
                <w:highlight w:val="none"/>
                <w:u w:val="none"/>
                <w:lang w:val="en-US" w:eastAsia="zh-CN" w:bidi="ar"/>
              </w:rPr>
              <w:t xml:space="preserve">1</w:t>
            </w:r>
            <w:r>
              <w:rPr>
                <w:rFonts w:ascii="Times New Roman" w:hAnsi="Times New Roman" w:eastAsia="方正仿宋简体" w:cs="Times New Roman"/>
                <w:i w:val="0"/>
                <w:iCs w:val="0"/>
                <w:color w:val="000000"/>
                <w:sz w:val="21"/>
                <w:szCs w:val="21"/>
                <w:highlight w:val="none"/>
                <w:u w:val="none"/>
                <w:lang w:val="en-US" w:eastAsia="zh-CN" w:bidi="ar"/>
              </w:rPr>
              <w:t xml:space="preserve">分。</w:t>
            </w:r>
            <w:r/>
          </w:p>
        </w:tc>
        <w:tc>
          <w:tcPr>
            <w:tcW w:w="1314"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lang w:val="en-US" w:eastAsia="zh-CN" w:bidi="ar-SA"/>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6</w:t>
            </w:r>
            <w:r/>
          </w:p>
        </w:tc>
        <w:tc>
          <w:tcPr>
            <w:tcW w:w="1237" w:type="dxa"/>
            <w:vAlign w:val="bottom"/>
            <w:textDirection w:val="lrTb"/>
            <w:noWrap/>
          </w:tcPr>
          <w:p>
            <w:pPr>
              <w:jc w:val="cente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1200"/>
        </w:trPr>
        <w:tc>
          <w:tcPr>
            <w:tcW w:w="585" w:type="dxa"/>
            <w:vAlign w:val="center"/>
            <w:vMerge w:val="restart"/>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7</w:t>
            </w:r>
            <w:r/>
          </w:p>
        </w:tc>
        <w:tc>
          <w:tcPr>
            <w:tcW w:w="1176" w:type="dxa"/>
            <w:vAlign w:val="center"/>
            <w:vMerge w:val="restart"/>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工作纪律</w:t>
            </w:r>
            <w:r/>
          </w:p>
        </w:tc>
        <w:tc>
          <w:tcPr>
            <w:tcW w:w="1727" w:type="dxa"/>
            <w:vAlign w:val="center"/>
            <w:vMerge w:val="restart"/>
            <w:textDirection w:val="lrTb"/>
            <w:noWrap/>
          </w:tcPr>
          <w:p>
            <w:pPr>
              <w:jc w:val="both"/>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廉政纪律与职业道德</w:t>
            </w:r>
            <w:r/>
          </w:p>
        </w:tc>
        <w:tc>
          <w:tcPr>
            <w:tcW w:w="5493" w:type="dxa"/>
            <w:vAlign w:val="center"/>
            <w:vMerge w:val="restart"/>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方正仿宋简体" w:cs="Times New Roman"/>
                <w:i w:val="0"/>
                <w:iCs w:val="0"/>
                <w:color w:val="000000"/>
                <w:sz w:val="21"/>
                <w:szCs w:val="21"/>
                <w:highlight w:val="none"/>
                <w:u w:val="none"/>
                <w:lang w:val="en-US" w:eastAsia="zh-CN" w:bidi="ar"/>
              </w:rPr>
              <w:t xml:space="preserve">严格落实合同中诚实信用要求，如有泄密事件发生或存在隐瞒问题、情况失实等严重质量问题，或有违纪违法行为，则认定考核不合格，并作为诚信纪录备案将情况报相关部门处理。</w:t>
            </w:r>
            <w:r/>
          </w:p>
        </w:tc>
        <w:tc>
          <w:tcPr>
            <w:tcW w:w="1314" w:type="dxa"/>
            <w:vAlign w:val="center"/>
            <w:vMerge w:val="restart"/>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c>
          <w:tcPr>
            <w:tcW w:w="1237" w:type="dxa"/>
            <w:vAlign w:val="bottom"/>
            <w:vMerge w:val="restart"/>
            <w:textDirection w:val="lrTb"/>
            <w:noWrap/>
          </w:tcPr>
          <w:p>
            <w:pPr>
              <w:jc w:val="cente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r>
        <w:trPr>
          <w:jc w:val="center"/>
          <w:trHeight w:val="1260"/>
        </w:trPr>
        <w:tc>
          <w:tcPr>
            <w:tcW w:w="585" w:type="dxa"/>
            <w:vAlign w:val="center"/>
            <w:textDirection w:val="lrTb"/>
            <w:noWrap/>
          </w:tcPr>
          <w:p>
            <w:pPr>
              <w:jc w:val="center"/>
              <w:keepLines w:val="0"/>
              <w:keepNext w:val="0"/>
              <w:widowControl/>
              <w:rPr>
                <w:rFonts w:ascii="Times New Roman" w:hAnsi="Times New Roman" w:eastAsia="等线" w:cs="Times New Roman"/>
                <w:i w:val="0"/>
                <w:iCs w:val="0"/>
                <w:color w:val="000000"/>
                <w:sz w:val="21"/>
                <w:szCs w:val="21"/>
                <w:highlight w:val="none"/>
                <w:u w:val="none"/>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8</w:t>
            </w:r>
            <w:r/>
          </w:p>
        </w:tc>
        <w:tc>
          <w:tcPr>
            <w:tcW w:w="1176"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实绩情况</w:t>
            </w:r>
            <w:r/>
          </w:p>
        </w:tc>
        <w:tc>
          <w:tcPr>
            <w:tcW w:w="1727" w:type="dxa"/>
            <w:vAlign w:val="center"/>
            <w:textDirection w:val="lrTb"/>
            <w:noWrap/>
          </w:tcPr>
          <w:p>
            <w:pPr>
              <w:jc w:val="both"/>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安全情况与通报报道</w:t>
            </w:r>
            <w:r/>
          </w:p>
        </w:tc>
        <w:tc>
          <w:tcPr>
            <w:tcW w:w="5493" w:type="dxa"/>
            <w:vAlign w:val="center"/>
            <w:textDirection w:val="lrTb"/>
            <w:noWrap w:val="false"/>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suppressLineNumbers w:val="0"/>
            </w:pPr>
            <w:r>
              <w:rPr>
                <w:rFonts w:ascii="方正仿宋简体" w:hAnsi="方正仿宋简体" w:eastAsia="方正仿宋简体" w:cs="方正仿宋简体"/>
                <w:i w:val="0"/>
                <w:iCs w:val="0"/>
                <w:color w:val="000000"/>
                <w:sz w:val="21"/>
                <w:szCs w:val="21"/>
                <w:highlight w:val="none"/>
                <w:u w:val="none"/>
                <w:lang w:val="en-US" w:eastAsia="zh-CN" w:bidi="ar"/>
              </w:rPr>
              <w:t xml:space="preserve">在监管工作有效开展下，农污现场巡查和水质检测做到防护设施齐全，安全制度落实到位，无安全事故无人员伤亡，且工作内容监管到位。若出现因管理不到位，导致安全事故或人员伤亡，以及被省市通报批评以及相关媒体报道的</w:t>
            </w:r>
            <w:r>
              <w:rPr>
                <w:rFonts w:hint="eastAsia" w:ascii="方正仿宋简体" w:hAnsi="方正仿宋简体" w:eastAsia="方正仿宋简体" w:cs="方正仿宋简体"/>
                <w:i w:val="0"/>
                <w:iCs w:val="0"/>
                <w:color w:val="000000"/>
                <w:sz w:val="21"/>
                <w:szCs w:val="21"/>
                <w:highlight w:val="none"/>
                <w:u w:val="none"/>
                <w:lang w:val="en-US" w:eastAsia="zh-CN" w:bidi="ar"/>
              </w:rPr>
              <w:t xml:space="preserve">造成恶劣影响的，</w:t>
            </w:r>
            <w:r>
              <w:rPr>
                <w:rFonts w:ascii="方正仿宋简体" w:hAnsi="方正仿宋简体" w:eastAsia="方正仿宋简体" w:cs="方正仿宋简体"/>
                <w:i w:val="0"/>
                <w:iCs w:val="0"/>
                <w:color w:val="000000"/>
                <w:sz w:val="21"/>
                <w:szCs w:val="21"/>
                <w:highlight w:val="none"/>
                <w:u w:val="none"/>
                <w:lang w:val="en-US" w:eastAsia="zh-CN" w:bidi="ar"/>
              </w:rPr>
              <w:t xml:space="preserve">则认定考核不合格。</w:t>
            </w:r>
            <w:r/>
          </w:p>
        </w:tc>
        <w:tc>
          <w:tcPr>
            <w:tcW w:w="1314" w:type="dxa"/>
            <w:vAlign w:val="center"/>
            <w:textDirection w:val="lrTb"/>
            <w:noWrap/>
          </w:tcPr>
          <w:p>
            <w:pPr>
              <w:jc w:val="center"/>
              <w:keepLines w:val="0"/>
              <w:keepNext w:val="0"/>
              <w:pageBreakBefore w:val="0"/>
              <w:spacing w:line="560" w:lineRule="exact"/>
              <w:widowControl/>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c>
          <w:tcPr>
            <w:tcW w:w="1237" w:type="dxa"/>
            <w:vAlign w:val="bottom"/>
            <w:textDirection w:val="lrTb"/>
            <w:noWrap/>
          </w:tcPr>
          <w:p>
            <w:pPr>
              <w:jc w:val="center"/>
              <w:rPr>
                <w:rFonts w:ascii="Times New Roman" w:hAnsi="Times New Roman" w:eastAsia="等线" w:cs="Times New Roman"/>
                <w:i w:val="0"/>
                <w:iCs w:val="0"/>
                <w:color w:val="000000"/>
                <w:sz w:val="21"/>
                <w:szCs w:val="21"/>
                <w:highlight w:val="none"/>
                <w:u w:val="none"/>
              </w:rPr>
            </w:pPr>
            <w:r>
              <w:rPr>
                <w:rFonts w:ascii="Times New Roman" w:hAnsi="Times New Roman" w:eastAsia="等线" w:cs="Times New Roman"/>
                <w:i w:val="0"/>
                <w:iCs w:val="0"/>
                <w:color w:val="000000"/>
                <w:sz w:val="21"/>
                <w:szCs w:val="21"/>
                <w:highlight w:val="none"/>
                <w:u w:val="none"/>
              </w:rPr>
            </w:r>
            <w:r/>
          </w:p>
        </w:tc>
      </w:tr>
    </w:tbl>
    <w:p>
      <w:pPr>
        <w:pStyle w:val="700"/>
        <w:rPr>
          <w:rFonts w:hint="eastAsia"/>
          <w:highlight w:val="none"/>
        </w:rPr>
      </w:pPr>
      <w:r>
        <w:rPr>
          <w:rFonts w:hint="eastAsia"/>
          <w:highlight w:val="none"/>
        </w:rPr>
      </w:r>
      <w:r/>
    </w:p>
    <w:p>
      <w:pPr>
        <w:jc w:val="left"/>
        <w:spacing w:line="360" w:lineRule="auto"/>
        <w:rPr>
          <w:rFonts w:hint="eastAsia" w:ascii="宋体" w:hAnsi="宋体" w:cs="宋体"/>
          <w:color w:val="000000"/>
          <w:sz w:val="36"/>
          <w:szCs w:val="36"/>
          <w:highlight w:val="none"/>
          <w:lang w:val="zh-CN"/>
        </w:rPr>
      </w:pPr>
      <w:r>
        <w:rPr>
          <w:rFonts w:hint="eastAsia" w:ascii="宋体" w:hAnsi="宋体"/>
          <w:color w:val="000000"/>
          <w:sz w:val="24"/>
          <w:szCs w:val="24"/>
          <w:highlight w:val="none"/>
          <w:lang w:val="en-US" w:eastAsia="zh-CN"/>
        </w:rPr>
        <w:t xml:space="preserve">2、考核分值 90分及以上为优秀，则可以获得当次申请支付外包服务价款的 100%;考核分值50分及以上，90分以下的为良好，每扣1分则扣除当次申请支付外包服务价款2.5%;考核分值在50分以下的为不合格，考核评分低于50分或被认定为不合格的季度，扣除当次申请支付外包服务价款的 100%。</w:t>
      </w:r>
      <w:r>
        <w:rPr>
          <w:rFonts w:hint="eastAsia" w:ascii="宋体" w:hAnsi="宋体"/>
          <w:color w:val="000000"/>
          <w:sz w:val="24"/>
          <w:szCs w:val="24"/>
          <w:highlight w:val="none"/>
        </w:rPr>
        <w:br w:type="page" w:clear="all"/>
      </w:r>
      <w:r>
        <w:rPr>
          <w:rStyle w:val="879"/>
          <w:rFonts w:hint="eastAsia"/>
          <w:color w:val="000000"/>
          <w:highlight w:val="none"/>
          <w:lang w:val="zh-CN"/>
        </w:rPr>
        <w:t xml:space="preserve">第五章</w:t>
      </w:r>
      <w:r>
        <w:rPr>
          <w:rStyle w:val="879"/>
          <w:rFonts w:hint="eastAsia"/>
          <w:color w:val="000000"/>
          <w:highlight w:val="none"/>
        </w:rPr>
        <w:t xml:space="preserve"> </w:t>
      </w:r>
      <w:r>
        <w:rPr>
          <w:rStyle w:val="879"/>
          <w:rFonts w:hint="eastAsia"/>
          <w:color w:val="000000"/>
          <w:highlight w:val="none"/>
          <w:lang w:val="zh-CN"/>
        </w:rPr>
        <w:t xml:space="preserve">合同主要条款及格式</w:t>
      </w:r>
      <w:bookmarkEnd w:id="41"/>
      <w:r/>
      <w:bookmarkEnd w:id="42"/>
      <w:r/>
      <w:bookmarkEnd w:id="43"/>
      <w:r/>
      <w:r/>
    </w:p>
    <w:p>
      <w:pPr>
        <w:jc w:val="center"/>
        <w:spacing w:line="360" w:lineRule="auto"/>
        <w:shd w:val="clear" w:color="auto" w:fill="ffffff"/>
        <w:widowControl/>
        <w:rPr>
          <w:rFonts w:hint="eastAsia" w:ascii="宋体" w:hAnsi="宋体"/>
          <w:color w:val="000000"/>
          <w:sz w:val="52"/>
          <w:szCs w:val="52"/>
          <w:highlight w:val="none"/>
        </w:rPr>
      </w:pPr>
      <w:r>
        <w:rPr>
          <w:rFonts w:hint="eastAsia" w:ascii="宋体" w:hAnsi="宋体"/>
          <w:color w:val="000000"/>
          <w:sz w:val="52"/>
          <w:szCs w:val="52"/>
          <w:highlight w:val="none"/>
        </w:rPr>
      </w:r>
      <w:r/>
    </w:p>
    <w:p>
      <w:pPr>
        <w:ind w:firstLine="800"/>
        <w:jc w:val="center"/>
        <w:spacing w:line="360" w:lineRule="auto"/>
        <w:rPr>
          <w:rFonts w:hint="eastAsia" w:ascii="宋体" w:hAnsi="宋体"/>
          <w:color w:val="000000"/>
          <w:sz w:val="40"/>
          <w:szCs w:val="40"/>
          <w:highlight w:val="none"/>
        </w:rPr>
      </w:pPr>
      <w:r>
        <w:rPr>
          <w:rFonts w:hint="eastAsia" w:ascii="宋体" w:hAnsi="宋体"/>
          <w:color w:val="000000"/>
          <w:sz w:val="40"/>
          <w:szCs w:val="40"/>
          <w:highlight w:val="none"/>
        </w:rPr>
      </w:r>
      <w:r/>
    </w:p>
    <w:p>
      <w:pPr>
        <w:ind w:firstLine="800"/>
        <w:jc w:val="center"/>
        <w:spacing w:line="360" w:lineRule="auto"/>
        <w:rPr>
          <w:rFonts w:hint="eastAsia" w:ascii="宋体" w:hAnsi="宋体"/>
          <w:color w:val="000000"/>
          <w:sz w:val="40"/>
          <w:szCs w:val="40"/>
          <w:highlight w:val="none"/>
        </w:rPr>
      </w:pPr>
      <w:r>
        <w:rPr>
          <w:rFonts w:hint="eastAsia" w:ascii="宋体" w:hAnsi="宋体"/>
          <w:color w:val="000000"/>
          <w:sz w:val="40"/>
          <w:szCs w:val="40"/>
          <w:highlight w:val="none"/>
        </w:rPr>
      </w:r>
      <w:r/>
    </w:p>
    <w:p>
      <w:pPr>
        <w:jc w:val="center"/>
        <w:spacing w:line="360" w:lineRule="auto"/>
        <w:rPr>
          <w:rFonts w:hint="eastAsia" w:ascii="仿宋" w:hAnsi="仿宋" w:eastAsia="仿宋" w:cs="仿宋"/>
          <w:b/>
          <w:bCs/>
          <w:color w:val="000000"/>
          <w:sz w:val="56"/>
          <w:highlight w:val="none"/>
        </w:rPr>
        <w:outlineLvl w:val="1"/>
      </w:pPr>
      <w:r/>
      <w:bookmarkStart w:id="44" w:name="_Toc18249"/>
      <w:r/>
      <w:bookmarkStart w:id="45" w:name="_Toc32628_WPSOffice_Level1"/>
      <w:r/>
      <w:bookmarkStart w:id="46" w:name="_Toc16851_WPSOffice_Level1"/>
      <w:r/>
      <w:bookmarkStart w:id="47" w:name="_Toc29310_WPSOffice_Level1"/>
      <w:r/>
      <w:bookmarkStart w:id="48" w:name="_Toc26494_WPSOffice_Level1"/>
      <w:r/>
      <w:bookmarkStart w:id="49" w:name="_Toc18137"/>
      <w:r/>
      <w:bookmarkStart w:id="50" w:name="_Toc29597"/>
      <w:r/>
      <w:bookmarkStart w:id="51" w:name="_Toc27946"/>
      <w:r>
        <w:rPr>
          <w:rFonts w:hint="eastAsia" w:ascii="仿宋" w:hAnsi="仿宋" w:eastAsia="仿宋" w:cs="仿宋"/>
          <w:b/>
          <w:bCs/>
          <w:color w:val="000000"/>
          <w:sz w:val="56"/>
          <w:highlight w:val="none"/>
        </w:rPr>
        <w:t xml:space="preserve">南京市政府采购合同</w:t>
      </w:r>
      <w:bookmarkEnd w:id="44"/>
      <w:r/>
      <w:bookmarkEnd w:id="45"/>
      <w:r/>
      <w:bookmarkEnd w:id="46"/>
      <w:r/>
      <w:bookmarkEnd w:id="47"/>
      <w:r/>
      <w:bookmarkEnd w:id="48"/>
      <w:r/>
      <w:r/>
    </w:p>
    <w:p>
      <w:pPr>
        <w:jc w:val="center"/>
        <w:spacing w:line="360" w:lineRule="auto"/>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pStyle w:val="980"/>
        <w:ind w:firstLine="1120"/>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pStyle w:val="700"/>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rPr>
          <w:rFonts w:hint="eastAsia"/>
        </w:rPr>
      </w:pPr>
      <w:r>
        <w:rPr>
          <w:rFonts w:hint="eastAsia"/>
        </w:rPr>
      </w:r>
      <w:r/>
    </w:p>
    <w:p>
      <w:pPr>
        <w:spacing w:line="360" w:lineRule="auto"/>
        <w:rPr>
          <w:rFonts w:hint="eastAsia" w:ascii="华文仿宋" w:hAnsi="华文仿宋" w:eastAsia="华文仿宋" w:cs="华文仿宋"/>
          <w:color w:val="000000"/>
          <w:sz w:val="28"/>
          <w:szCs w:val="21"/>
          <w:highlight w:val="none"/>
        </w:rPr>
      </w:pPr>
      <w:r>
        <w:rPr>
          <w:rFonts w:hint="eastAsia" w:ascii="华文仿宋" w:hAnsi="华文仿宋" w:eastAsia="华文仿宋" w:cs="华文仿宋"/>
          <w:color w:val="000000"/>
          <w:sz w:val="28"/>
          <w:szCs w:val="21"/>
          <w:highlight w:val="none"/>
        </w:rPr>
      </w:r>
      <w:r/>
    </w:p>
    <w:p>
      <w:pPr>
        <w:ind w:firstLine="1440"/>
        <w:spacing w:line="360" w:lineRule="auto"/>
        <w:rPr>
          <w:rFonts w:hint="eastAsia" w:ascii="华文仿宋" w:hAnsi="华文仿宋" w:eastAsia="华文仿宋" w:cs="华文仿宋"/>
          <w:color w:val="000000"/>
          <w:sz w:val="28"/>
          <w:szCs w:val="21"/>
          <w:highlight w:val="none"/>
        </w:rPr>
      </w:pPr>
      <w:r>
        <w:rPr>
          <w:rFonts w:hint="eastAsia" w:ascii="华文仿宋" w:hAnsi="华文仿宋" w:eastAsia="华文仿宋" w:cs="华文仿宋"/>
          <w:color w:val="000000"/>
          <w:sz w:val="28"/>
          <w:szCs w:val="21"/>
          <w:highlight w:val="none"/>
        </w:rPr>
      </w:r>
      <w:r/>
    </w:p>
    <w:p>
      <w:pPr>
        <w:ind w:firstLine="1960"/>
        <w:spacing w:line="360" w:lineRule="auto"/>
        <w:rPr>
          <w:rFonts w:hint="eastAsia" w:ascii="华文仿宋" w:hAnsi="华文仿宋" w:eastAsia="华文仿宋" w:cs="华文仿宋"/>
          <w:color w:val="000000"/>
          <w:sz w:val="28"/>
          <w:szCs w:val="21"/>
          <w:highlight w:val="none"/>
          <w:u w:val="single"/>
          <w:lang w:val="en-US"/>
        </w:rPr>
      </w:pPr>
      <w:r/>
      <w:bookmarkStart w:id="52" w:name="_Toc22071_WPSOffice_Level1"/>
      <w:r/>
      <w:bookmarkStart w:id="53" w:name="_Toc9504_WPSOffice_Level1"/>
      <w:r/>
      <w:bookmarkStart w:id="54" w:name="_Toc29431_WPSOffice_Level1"/>
      <w:r/>
      <w:bookmarkStart w:id="55" w:name="_Toc30172_WPSOffice_Level1"/>
      <w:r/>
      <w:bookmarkStart w:id="56" w:name="_Toc28775_WPSOffice_Level1"/>
      <w:r/>
      <w:bookmarkStart w:id="57" w:name="_Toc12108_WPSOffice_Level1"/>
      <w:r>
        <w:rPr>
          <w:rFonts w:hint="eastAsia" w:ascii="华文仿宋" w:hAnsi="华文仿宋" w:eastAsia="华文仿宋" w:cs="华文仿宋"/>
          <w:color w:val="000000"/>
          <w:sz w:val="28"/>
          <w:szCs w:val="21"/>
          <w:highlight w:val="none"/>
        </w:rPr>
        <w:t xml:space="preserve">项目编号：</w:t>
      </w:r>
      <w:bookmarkEnd w:id="52"/>
      <w:r/>
      <w:bookmarkEnd w:id="53"/>
      <w:r/>
      <w:bookmarkEnd w:id="54"/>
      <w:r/>
      <w:bookmarkEnd w:id="55"/>
      <w:r/>
      <w:bookmarkEnd w:id="56"/>
      <w:r/>
      <w:bookmarkEnd w:id="57"/>
      <w:r>
        <w:rPr>
          <w:rFonts w:hint="eastAsia" w:ascii="华文仿宋" w:hAnsi="华文仿宋" w:eastAsia="华文仿宋" w:cs="华文仿宋"/>
          <w:color w:val="000000"/>
          <w:sz w:val="28"/>
          <w:szCs w:val="21"/>
          <w:highlight w:val="none"/>
          <w:u w:val="single"/>
          <w:lang w:eastAsia="zh-CN"/>
        </w:rPr>
        <w:t xml:space="preserve">JSZC-320115-FHGL-G2025-0033</w:t>
      </w:r>
      <w:r>
        <w:rPr>
          <w:rFonts w:hint="eastAsia" w:ascii="华文仿宋" w:hAnsi="华文仿宋" w:eastAsia="华文仿宋" w:cs="华文仿宋"/>
          <w:color w:val="000000"/>
          <w:sz w:val="28"/>
          <w:szCs w:val="21"/>
          <w:highlight w:val="none"/>
          <w:u w:val="singl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u w:val="single"/>
          <w:lang w:val="en-US"/>
        </w:rPr>
      </w:pPr>
      <w:r/>
      <w:bookmarkStart w:id="58" w:name="_Toc3475_WPSOffice_Level1"/>
      <w:r/>
      <w:bookmarkStart w:id="59" w:name="_Toc19377_WPSOffice_Level1"/>
      <w:r/>
      <w:bookmarkStart w:id="60" w:name="_Toc14179_WPSOffice_Level1"/>
      <w:r/>
      <w:bookmarkStart w:id="61" w:name="_Toc13917_WPSOffice_Level1"/>
      <w:r/>
      <w:bookmarkStart w:id="62" w:name="_Toc10596_WPSOffice_Level1"/>
      <w:r/>
      <w:bookmarkStart w:id="63" w:name="_Toc3167_WPSOffice_Level1"/>
      <w:r>
        <w:rPr>
          <w:rFonts w:hint="eastAsia" w:ascii="华文仿宋" w:hAnsi="华文仿宋" w:eastAsia="华文仿宋" w:cs="华文仿宋"/>
          <w:color w:val="000000"/>
          <w:sz w:val="28"/>
          <w:szCs w:val="21"/>
          <w:highlight w:val="none"/>
        </w:rPr>
        <w:t xml:space="preserve">项目名称：</w:t>
      </w:r>
      <w:bookmarkEnd w:id="58"/>
      <w:r/>
      <w:bookmarkEnd w:id="59"/>
      <w:r/>
      <w:bookmarkEnd w:id="60"/>
      <w:r/>
      <w:bookmarkEnd w:id="61"/>
      <w:r/>
      <w:bookmarkEnd w:id="62"/>
      <w:r/>
      <w:bookmarkEnd w:id="63"/>
      <w:r>
        <w:rPr>
          <w:rFonts w:hint="eastAsia" w:ascii="华文仿宋" w:hAnsi="华文仿宋" w:eastAsia="华文仿宋" w:cs="华文仿宋"/>
          <w:color w:val="000000"/>
          <w:sz w:val="28"/>
          <w:szCs w:val="21"/>
          <w:highlight w:val="none"/>
          <w:u w:val="single"/>
          <w:lang w:eastAsia="zh-CN"/>
        </w:rPr>
        <w:t xml:space="preserve">2026年全区农污处理设施建设运维监督管理技术服务</w:t>
      </w:r>
      <w:r>
        <w:rPr>
          <w:rFonts w:hint="eastAsia" w:ascii="华文仿宋" w:hAnsi="华文仿宋" w:eastAsia="华文仿宋" w:cs="华文仿宋"/>
          <w:color w:val="000000"/>
          <w:sz w:val="28"/>
          <w:szCs w:val="21"/>
          <w:highlight w:val="none"/>
          <w:u w:val="singl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lang w:val="en-US"/>
        </w:rPr>
      </w:pPr>
      <w:r/>
      <w:bookmarkStart w:id="64" w:name="_Toc7453_WPSOffice_Level1"/>
      <w:r/>
      <w:bookmarkStart w:id="65" w:name="_Toc13322_WPSOffice_Level1"/>
      <w:r/>
      <w:bookmarkStart w:id="66" w:name="_Toc11045_WPSOffice_Level1"/>
      <w:r/>
      <w:bookmarkStart w:id="67" w:name="_Toc28888_WPSOffice_Level1"/>
      <w:r/>
      <w:bookmarkStart w:id="68" w:name="_Toc6851_WPSOffice_Level1"/>
      <w:r/>
      <w:bookmarkStart w:id="69" w:name="_Toc20383_WPSOffice_Level1"/>
      <w:r>
        <w:rPr>
          <w:rFonts w:hint="eastAsia" w:ascii="华文仿宋" w:hAnsi="华文仿宋" w:eastAsia="华文仿宋" w:cs="华文仿宋"/>
          <w:color w:val="000000"/>
          <w:sz w:val="28"/>
          <w:szCs w:val="21"/>
          <w:highlight w:val="none"/>
          <w:lang w:val="en-US"/>
        </w:rPr>
        <w:t xml:space="preserve">分 包 号：</w:t>
      </w:r>
      <w:bookmarkEnd w:id="64"/>
      <w:r/>
      <w:bookmarkEnd w:id="65"/>
      <w:r/>
      <w:bookmarkEnd w:id="66"/>
      <w:r/>
      <w:bookmarkEnd w:id="67"/>
      <w:r/>
      <w:bookmarkEnd w:id="68"/>
      <w:r/>
      <w:bookmarkEnd w:id="69"/>
      <w:r>
        <w:rPr>
          <w:rFonts w:hint="eastAsia" w:ascii="华文仿宋" w:hAnsi="华文仿宋" w:eastAsia="华文仿宋" w:cs="华文仿宋"/>
          <w:color w:val="000000"/>
          <w:sz w:val="28"/>
          <w:szCs w:val="21"/>
          <w:highlight w:val="none"/>
          <w:u w:val="single"/>
          <w:lang w:val="en-US" w:eastAsia="zh-CN"/>
        </w:rPr>
        <w:t xml:space="preserve">一标段       </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rPr>
      </w:pPr>
      <w:r/>
      <w:bookmarkStart w:id="70" w:name="_Toc6831_WPSOffice_Level1"/>
      <w:r/>
      <w:bookmarkStart w:id="71" w:name="_Toc18932_WPSOffice_Level1"/>
      <w:r/>
      <w:bookmarkStart w:id="72" w:name="_Toc3732_WPSOffice_Level1"/>
      <w:r/>
      <w:bookmarkStart w:id="73" w:name="_Toc20134_WPSOffice_Level1"/>
      <w:r/>
      <w:bookmarkStart w:id="74" w:name="_Toc22532_WPSOffice_Level1"/>
      <w:r/>
      <w:bookmarkStart w:id="75" w:name="_Toc26330_WPSOffice_Level1"/>
      <w:r>
        <w:rPr>
          <w:rFonts w:hint="eastAsia" w:ascii="华文仿宋" w:hAnsi="华文仿宋" w:eastAsia="华文仿宋" w:cs="华文仿宋"/>
          <w:color w:val="000000"/>
          <w:sz w:val="28"/>
          <w:szCs w:val="21"/>
          <w:highlight w:val="none"/>
          <w:lang w:val="en-US"/>
        </w:rPr>
        <w:t xml:space="preserve">采购</w:t>
      </w:r>
      <w:r>
        <w:rPr>
          <w:rFonts w:hint="eastAsia" w:ascii="华文仿宋" w:hAnsi="华文仿宋" w:eastAsia="华文仿宋" w:cs="华文仿宋"/>
          <w:color w:val="000000"/>
          <w:sz w:val="28"/>
          <w:szCs w:val="21"/>
          <w:highlight w:val="none"/>
        </w:rPr>
        <w:t xml:space="preserve">单位：</w:t>
      </w:r>
      <w:bookmarkEnd w:id="70"/>
      <w:r/>
      <w:bookmarkEnd w:id="71"/>
      <w:r/>
      <w:bookmarkEnd w:id="72"/>
      <w:r/>
      <w:bookmarkEnd w:id="73"/>
      <w:r/>
      <w:bookmarkEnd w:id="74"/>
      <w:r/>
      <w:bookmarkEnd w:id="75"/>
      <w:r>
        <w:rPr>
          <w:rFonts w:hint="eastAsia" w:ascii="华文仿宋" w:hAnsi="华文仿宋" w:eastAsia="华文仿宋" w:cs="华文仿宋"/>
          <w:color w:val="000000"/>
          <w:sz w:val="28"/>
          <w:szCs w:val="21"/>
          <w:highlight w:val="none"/>
          <w:u w:val="single"/>
          <w:lang w:eastAsia="zh-CN"/>
        </w:rPr>
        <w:t xml:space="preserve">南京市江宁区水务局</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rPr>
      </w:pPr>
      <w:r/>
      <w:bookmarkStart w:id="76" w:name="_Toc12819_WPSOffice_Level1"/>
      <w:r/>
      <w:bookmarkStart w:id="77" w:name="_Toc27542_WPSOffice_Level1"/>
      <w:r/>
      <w:bookmarkStart w:id="78" w:name="_Toc19623_WPSOffice_Level1"/>
      <w:r/>
      <w:bookmarkStart w:id="79" w:name="_Toc23187_WPSOffice_Level1"/>
      <w:r/>
      <w:bookmarkStart w:id="80" w:name="_Toc11947_WPSOffice_Level1"/>
      <w:r/>
      <w:bookmarkStart w:id="81" w:name="_Toc18318_WPSOffice_Level1"/>
      <w:r>
        <w:rPr>
          <w:rFonts w:hint="eastAsia" w:ascii="华文仿宋" w:hAnsi="华文仿宋" w:eastAsia="华文仿宋" w:cs="华文仿宋"/>
          <w:color w:val="000000"/>
          <w:sz w:val="28"/>
          <w:szCs w:val="21"/>
          <w:highlight w:val="none"/>
          <w:lang w:val="en-US"/>
        </w:rPr>
        <w:t xml:space="preserve">供 应 商</w:t>
      </w:r>
      <w:r>
        <w:rPr>
          <w:rFonts w:hint="eastAsia" w:ascii="华文仿宋" w:hAnsi="华文仿宋" w:eastAsia="华文仿宋" w:cs="华文仿宋"/>
          <w:color w:val="000000"/>
          <w:sz w:val="28"/>
          <w:szCs w:val="21"/>
          <w:highlight w:val="none"/>
        </w:rPr>
        <w:t xml:space="preserve">：</w:t>
      </w:r>
      <w:bookmarkEnd w:id="76"/>
      <w:r/>
      <w:bookmarkEnd w:id="77"/>
      <w:r/>
      <w:bookmarkEnd w:id="78"/>
      <w:r/>
      <w:bookmarkEnd w:id="79"/>
      <w:r/>
      <w:bookmarkEnd w:id="80"/>
      <w:r/>
      <w:bookmarkEnd w:id="81"/>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u w:val="single"/>
          <w:lang w:val="en-US" w:eastAsia="zh-CN"/>
        </w:rPr>
        <w:t xml:space="preserve">             </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rPr>
      </w:pPr>
      <w:r/>
      <w:bookmarkStart w:id="82" w:name="_Toc14004_WPSOffice_Level1"/>
      <w:r/>
      <w:bookmarkStart w:id="83" w:name="_Toc24732_WPSOffice_Level1"/>
      <w:r/>
      <w:bookmarkStart w:id="84" w:name="_Toc22995_WPSOffice_Level1"/>
      <w:r/>
      <w:bookmarkStart w:id="85" w:name="_Toc4349_WPSOffice_Level1"/>
      <w:r/>
      <w:bookmarkStart w:id="86" w:name="_Toc20969_WPSOffice_Level1"/>
      <w:r/>
      <w:bookmarkStart w:id="87" w:name="_Toc28368_WPSOffice_Level1"/>
      <w:r>
        <w:rPr>
          <w:rFonts w:hint="eastAsia" w:ascii="华文仿宋" w:hAnsi="华文仿宋" w:eastAsia="华文仿宋" w:cs="华文仿宋"/>
          <w:color w:val="000000"/>
          <w:sz w:val="28"/>
          <w:szCs w:val="21"/>
          <w:highlight w:val="none"/>
        </w:rPr>
        <w:t xml:space="preserve">签订日期：</w:t>
      </w:r>
      <w:bookmarkEnd w:id="82"/>
      <w:r/>
      <w:bookmarkEnd w:id="83"/>
      <w:r/>
      <w:bookmarkEnd w:id="84"/>
      <w:r/>
      <w:bookmarkEnd w:id="85"/>
      <w:r/>
      <w:bookmarkEnd w:id="86"/>
      <w:r/>
      <w:bookmarkEnd w:id="87"/>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u w:val="single"/>
          <w:lang w:val="en-US" w:eastAsia="zh-CN"/>
        </w:rPr>
        <w:t xml:space="preserve">             </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rPr>
          <w:rFonts w:hint="eastAsia"/>
          <w:color w:val="000000"/>
          <w:highlight w:val="none"/>
        </w:rPr>
      </w:pPr>
      <w:r>
        <w:rPr>
          <w:rFonts w:hint="eastAsia"/>
          <w:color w:val="000000"/>
          <w:highlight w:val="none"/>
        </w:rPr>
      </w:r>
      <w:r/>
    </w:p>
    <w:p>
      <w:pPr>
        <w:pStyle w:val="980"/>
        <w:ind w:firstLine="44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80"/>
        <w:ind w:firstLine="44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tbl>
      <w:tblPr>
        <w:tblStyle w:val="699"/>
        <w:tblW w:w="9401" w:type="dxa"/>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rHeight w:val="561"/>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ind w:left="2400" w:hanging="24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采购人（以下称甲方）南京市江宁区水务局</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供应商：（以下称乙方）</w:t>
            </w:r>
            <w:r/>
          </w:p>
        </w:tc>
      </w:tr>
      <w:tr>
        <w:trPr>
          <w:trHeight w:val="499"/>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住所地：南京市江宁区天元东路189号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住所地：</w:t>
            </w:r>
            <w:r/>
          </w:p>
        </w:tc>
      </w:tr>
    </w:tbl>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根据《中华人民共和国政府采购法》、《中华人民共和国民法典》等法律法规的规定，甲乙双方按照采购代理机构的招标结果签订本合同。</w:t>
      </w:r>
      <w:r/>
    </w:p>
    <w:p>
      <w:pPr>
        <w:ind w:firstLine="482"/>
        <w:spacing w:line="360" w:lineRule="auto"/>
        <w:rPr>
          <w:rFonts w:hint="eastAsia" w:ascii="仿宋" w:hAnsi="仿宋" w:eastAsia="仿宋" w:cs="仿宋"/>
          <w:color w:val="000000"/>
          <w:sz w:val="24"/>
          <w:szCs w:val="24"/>
          <w:highlight w:val="none"/>
        </w:rPr>
        <w:outlineLvl w:val="1"/>
      </w:pPr>
      <w:r/>
      <w:bookmarkStart w:id="88" w:name="_Toc24473"/>
      <w:r>
        <w:rPr>
          <w:rFonts w:hint="eastAsia" w:ascii="仿宋" w:hAnsi="仿宋" w:eastAsia="仿宋" w:cs="仿宋"/>
          <w:b/>
          <w:bCs/>
          <w:color w:val="000000"/>
          <w:sz w:val="24"/>
          <w:szCs w:val="24"/>
          <w:highlight w:val="none"/>
        </w:rPr>
        <w:t xml:space="preserve">第一条 合同标的</w:t>
      </w:r>
      <w:bookmarkEnd w:id="88"/>
      <w:r>
        <w:rPr>
          <w:rFonts w:hint="eastAsia" w:ascii="仿宋" w:hAnsi="仿宋" w:eastAsia="仿宋" w:cs="仿宋"/>
          <w:color w:val="000000"/>
          <w:sz w:val="24"/>
          <w:szCs w:val="24"/>
          <w:highlight w:val="none"/>
        </w:rPr>
        <w:t xml:space="preserve">  </w:t>
      </w:r>
      <w:r/>
    </w:p>
    <w:p>
      <w:pPr>
        <w:ind w:firstLine="480"/>
        <w:spacing w:line="360" w:lineRule="auto"/>
        <w:rPr>
          <w:rFonts w:ascii="仿宋" w:hAnsi="仿宋" w:eastAsia="仿宋" w:cs="仿宋"/>
          <w:color w:val="000000"/>
          <w:sz w:val="24"/>
          <w:szCs w:val="24"/>
          <w:highlight w:val="none"/>
          <w:u w:val="single"/>
          <w:lang w:val="en-US"/>
        </w:rPr>
      </w:pPr>
      <w:r>
        <w:rPr>
          <w:rFonts w:hint="eastAsia" w:ascii="仿宋" w:hAnsi="仿宋" w:eastAsia="仿宋" w:cs="仿宋"/>
          <w:color w:val="000000"/>
          <w:sz w:val="24"/>
          <w:szCs w:val="24"/>
          <w:highlight w:val="none"/>
        </w:rPr>
        <w:t xml:space="preserve">1、乙方根据甲方需求提供下列服务：</w:t>
      </w:r>
      <w:r>
        <w:rPr>
          <w:rFonts w:hint="eastAsia" w:ascii="仿宋" w:hAnsi="仿宋" w:eastAsia="仿宋" w:cs="仿宋"/>
          <w:color w:val="000000"/>
          <w:sz w:val="24"/>
          <w:szCs w:val="24"/>
          <w:highlight w:val="none"/>
          <w:u w:val="single"/>
          <w:lang w:eastAsia="zh-CN"/>
        </w:rPr>
        <w:t xml:space="preserve">2026年全区农污处理设施建设运维监督管理技术服务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标包：一   。</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2、具体服务执行要求详见乙方投标文件。</w:t>
      </w:r>
      <w:r/>
    </w:p>
    <w:p>
      <w:pPr>
        <w:ind w:firstLine="482"/>
        <w:spacing w:line="360" w:lineRule="auto"/>
        <w:rPr>
          <w:rFonts w:hint="eastAsia" w:ascii="仿宋" w:hAnsi="仿宋" w:eastAsia="仿宋" w:cs="仿宋"/>
          <w:b/>
          <w:bCs/>
          <w:color w:val="000000"/>
          <w:sz w:val="24"/>
          <w:szCs w:val="24"/>
          <w:highlight w:val="none"/>
        </w:rPr>
        <w:outlineLvl w:val="1"/>
      </w:pPr>
      <w:r/>
      <w:bookmarkStart w:id="89" w:name="_Toc20836"/>
      <w:r>
        <w:rPr>
          <w:rFonts w:hint="eastAsia" w:ascii="仿宋" w:hAnsi="仿宋" w:eastAsia="仿宋" w:cs="仿宋"/>
          <w:b/>
          <w:bCs/>
          <w:color w:val="000000"/>
          <w:sz w:val="24"/>
          <w:szCs w:val="24"/>
          <w:highlight w:val="none"/>
        </w:rPr>
        <w:t xml:space="preserve">第二条 合同总价款</w:t>
      </w:r>
      <w:bookmarkEnd w:id="89"/>
      <w:r/>
      <w:r/>
    </w:p>
    <w:p>
      <w:pPr>
        <w:ind w:firstLine="2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1、本合同项下服务总价款为___________（大写）人民币，分项价款在乙方“投标文件价格部分”中有明确规定。</w:t>
      </w:r>
      <w:r/>
    </w:p>
    <w:p>
      <w:pPr>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2、本合同总价款是完成本项目所发生的所有含税费用、支付给员工的工资和国家强制缴纳的各种社会保障资金</w:t>
      </w:r>
      <w:r>
        <w:rPr>
          <w:rFonts w:hint="eastAsia" w:ascii="仿宋" w:hAnsi="仿宋" w:eastAsia="仿宋" w:cs="仿宋"/>
          <w:bCs/>
          <w:color w:val="000000"/>
          <w:sz w:val="24"/>
          <w:szCs w:val="24"/>
          <w:highlight w:val="none"/>
        </w:rPr>
        <w:t xml:space="preserve">，以</w:t>
      </w:r>
      <w:r>
        <w:rPr>
          <w:rFonts w:hint="eastAsia" w:ascii="仿宋" w:hAnsi="仿宋" w:eastAsia="仿宋" w:cs="仿宋"/>
          <w:color w:val="000000"/>
          <w:sz w:val="24"/>
          <w:szCs w:val="24"/>
          <w:highlight w:val="none"/>
        </w:rPr>
        <w:t xml:space="preserve">及乙方认为需要的其他费用等。</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3、本合同执行期间合同总价款不变。</w:t>
      </w:r>
      <w:r/>
    </w:p>
    <w:p>
      <w:pPr>
        <w:ind w:firstLine="482"/>
        <w:spacing w:line="360" w:lineRule="auto"/>
        <w:rPr>
          <w:rFonts w:hint="eastAsia" w:ascii="仿宋" w:hAnsi="仿宋" w:eastAsia="仿宋" w:cs="仿宋"/>
          <w:color w:val="000000"/>
          <w:sz w:val="24"/>
          <w:szCs w:val="24"/>
          <w:highlight w:val="none"/>
        </w:rPr>
        <w:outlineLvl w:val="1"/>
      </w:pPr>
      <w:r/>
      <w:bookmarkStart w:id="90" w:name="_Toc28672"/>
      <w:r>
        <w:rPr>
          <w:rFonts w:hint="eastAsia" w:ascii="仿宋" w:hAnsi="仿宋" w:eastAsia="仿宋" w:cs="仿宋"/>
          <w:b/>
          <w:bCs/>
          <w:color w:val="000000"/>
          <w:sz w:val="24"/>
          <w:szCs w:val="24"/>
          <w:highlight w:val="none"/>
        </w:rPr>
        <w:t xml:space="preserve">第三条 组成本合同的有关文件</w:t>
      </w:r>
      <w:bookmarkEnd w:id="90"/>
      <w:r>
        <w:rPr>
          <w:rFonts w:hint="eastAsia" w:ascii="仿宋" w:hAnsi="仿宋" w:eastAsia="仿宋" w:cs="仿宋"/>
          <w:color w:val="000000"/>
          <w:sz w:val="24"/>
          <w:szCs w:val="24"/>
          <w:highlight w:val="none"/>
        </w:rPr>
        <w:t xml:space="preserve">  </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下列关于</w:t>
      </w:r>
      <w:r>
        <w:rPr>
          <w:rFonts w:hint="eastAsia" w:ascii="仿宋" w:hAnsi="仿宋" w:eastAsia="仿宋" w:cs="仿宋"/>
          <w:color w:val="000000"/>
          <w:sz w:val="24"/>
          <w:szCs w:val="24"/>
          <w:highlight w:val="none"/>
          <w:u w:val="single"/>
          <w:lang w:eastAsia="zh-CN"/>
        </w:rPr>
        <w:t xml:space="preserve">2026年全区农污处理设施建设运维监督管理技术服务</w:t>
      </w:r>
      <w:r>
        <w:rPr>
          <w:rFonts w:hint="eastAsia" w:ascii="仿宋" w:hAnsi="仿宋" w:eastAsia="仿宋" w:cs="仿宋"/>
          <w:color w:val="000000"/>
          <w:sz w:val="24"/>
          <w:szCs w:val="24"/>
          <w:highlight w:val="none"/>
        </w:rPr>
        <w:t xml:space="preserve">的公开招标文件、供应商投标文件，或与本次采购活动方式相适应的文件及有关附件是本合同不可分割的组成部分，与本合同具有同等法律效力，这些文件包括但不限于：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1、乙方提供的投标文件和投标文件价格部分；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2、技术条款偏离表；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3、投标承诺/服务承诺；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4、中标通知书；</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5、甲乙双方商定的其他文件等。</w:t>
      </w:r>
      <w:r/>
    </w:p>
    <w:p>
      <w:pPr>
        <w:ind w:firstLine="482"/>
        <w:spacing w:line="360" w:lineRule="auto"/>
        <w:rPr>
          <w:rFonts w:hint="eastAsia" w:ascii="仿宋" w:hAnsi="仿宋" w:eastAsia="仿宋" w:cs="仿宋"/>
          <w:b/>
          <w:bCs/>
          <w:color w:val="000000"/>
          <w:sz w:val="24"/>
          <w:szCs w:val="24"/>
          <w:highlight w:val="none"/>
        </w:rPr>
        <w:outlineLvl w:val="1"/>
      </w:pPr>
      <w:r/>
      <w:bookmarkStart w:id="91" w:name="_Toc2977"/>
      <w:r>
        <w:rPr>
          <w:rFonts w:hint="eastAsia" w:ascii="仿宋" w:hAnsi="仿宋" w:eastAsia="仿宋" w:cs="仿宋"/>
          <w:b/>
          <w:bCs/>
          <w:color w:val="000000"/>
          <w:sz w:val="24"/>
          <w:szCs w:val="24"/>
          <w:highlight w:val="none"/>
        </w:rPr>
        <w:t xml:space="preserve">第四条 双方权利和义务</w:t>
      </w:r>
      <w:bookmarkEnd w:id="91"/>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1、乙方承诺，能够按照本合同及招投标文件约定为甲方提供劳务，遵守甲方的各项工作要求、操作规程，保守甲方商业秘密，勤勉尽责地完成工作任务。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2、根据所从事的工作，乙方应按照相关规定和甲方的要求为其提供劳务者配备必要的劳动保护用品、办公用品、车辆等，以满足日常工作需求和工作任务的顺利实现。</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3、乙方提供劳务时应遵守甲方的操作规程，达到甲方的各项要求和标准，并接受甲方的工作</w:t>
      </w:r>
      <w:r>
        <w:rPr>
          <w:rFonts w:hint="eastAsia" w:ascii="仿宋" w:hAnsi="仿宋" w:eastAsia="仿宋" w:cs="仿宋"/>
          <w:color w:val="000000"/>
          <w:sz w:val="24"/>
          <w:szCs w:val="24"/>
          <w:highlight w:val="none"/>
          <w:lang w:eastAsia="zh-CN"/>
        </w:rPr>
        <w:t xml:space="preserve">考核</w:t>
      </w:r>
      <w:r>
        <w:rPr>
          <w:rFonts w:hint="eastAsia" w:ascii="仿宋" w:hAnsi="仿宋" w:eastAsia="仿宋" w:cs="仿宋"/>
          <w:color w:val="000000"/>
          <w:sz w:val="24"/>
          <w:szCs w:val="24"/>
          <w:highlight w:val="none"/>
        </w:rPr>
        <w:t xml:space="preserve">。若因乙方违规违纪给甲方造成损失的，乙方应承担相应赔偿责任。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4、鉴于甲乙双方为劳务关系，本合同期内乙方的人员对甲方不享有劳动法律法规规定的社会保险及福利待遇，甲方也无需因此向乙方支付任何形式的补偿。</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5、鉴于甲乙双方为劳务关系，本合同期内乙方人员患病或其它任何原因导致伤亡的，一切费用均由乙方自行承担。</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6、在本合同期内，乙方在从事甲方安排的工作中致人损害的或者自行受损的，乙方应自行承担赔偿责任。由此给甲方造成损失的，乙方应据实赔偿。</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7、乙方应当保守工作期间知悉甲方的各种商业秘密、财务数据、公司机密等任何不宜对外公开的事项，否则造成甲方损失的，乙方应承担赔偿责任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8、乙方对其雇佣的人员，应当规定交纳职工社会保险（不符合交纳职工社会保险的，应当从安全的角度，为其购买商业保险）</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9、乙方应当将所有雇佣人员名单及签订的劳动合同（或其他证明双方身份关系的合同）交甲方备案。</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若因乙方工作人员被判定与甲方有劳动或劳务关系等，由甲方承担了相关的法律后果的，甲方可以后乙方进行追偿，并可以直接在应付款中扣除。乙方在处理过程中，不予配合的或不予认可的，还应当按甲方支付额的10%支付违约金。</w:t>
      </w:r>
      <w:r/>
    </w:p>
    <w:p>
      <w:pPr>
        <w:ind w:firstLine="482"/>
        <w:spacing w:line="360" w:lineRule="auto"/>
        <w:rPr>
          <w:rFonts w:hint="eastAsia" w:ascii="仿宋" w:hAnsi="仿宋" w:eastAsia="仿宋" w:cs="仿宋"/>
          <w:b/>
          <w:bCs/>
          <w:color w:val="000000"/>
          <w:sz w:val="24"/>
          <w:szCs w:val="24"/>
          <w:highlight w:val="none"/>
        </w:rPr>
        <w:outlineLvl w:val="1"/>
      </w:pPr>
      <w:r/>
      <w:bookmarkStart w:id="92" w:name="_Toc6157"/>
      <w:r>
        <w:rPr>
          <w:rFonts w:hint="eastAsia" w:ascii="仿宋" w:hAnsi="仿宋" w:eastAsia="仿宋" w:cs="仿宋"/>
          <w:b/>
          <w:bCs/>
          <w:color w:val="000000"/>
          <w:sz w:val="24"/>
          <w:szCs w:val="24"/>
          <w:highlight w:val="none"/>
        </w:rPr>
        <w:t xml:space="preserve">第五条 质量保证</w:t>
      </w:r>
      <w:bookmarkEnd w:id="92"/>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乙方所提供的服务的技术规格应与招标文件规定的技术规格及投标文件所附的“技术条款偏离表”相一致；若技术性能无特殊说明，则按国家有关部门最新颁布的标准及规范为准。</w:t>
      </w:r>
      <w:r/>
    </w:p>
    <w:p>
      <w:pPr>
        <w:ind w:firstLine="482"/>
        <w:spacing w:line="360" w:lineRule="auto"/>
        <w:rPr>
          <w:rFonts w:hint="eastAsia" w:ascii="仿宋" w:hAnsi="仿宋" w:eastAsia="仿宋" w:cs="仿宋"/>
          <w:b/>
          <w:bCs/>
          <w:color w:val="000000"/>
          <w:sz w:val="24"/>
          <w:szCs w:val="24"/>
          <w:highlight w:val="none"/>
        </w:rPr>
        <w:outlineLvl w:val="1"/>
      </w:pPr>
      <w:r/>
      <w:bookmarkStart w:id="93" w:name="_Toc17358"/>
      <w:r>
        <w:rPr>
          <w:rFonts w:hint="eastAsia" w:ascii="仿宋" w:hAnsi="仿宋" w:eastAsia="仿宋" w:cs="仿宋"/>
          <w:b/>
          <w:bCs/>
          <w:color w:val="000000"/>
          <w:sz w:val="24"/>
          <w:szCs w:val="24"/>
          <w:highlight w:val="none"/>
        </w:rPr>
        <w:t xml:space="preserve">第六条 交货和验收</w:t>
      </w:r>
      <w:bookmarkEnd w:id="93"/>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1、乙方应当在合同签订后一年服务期内完成服务事项。</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2、乙方提供的服务应当完全符合本合同或者招投标文件所规定的服务和要求。乙方提供的服务不符合招投标文件和合同规定的，甲方有权拒绝验收，由此引起的风险，由乙方承担。</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3、服务验收标准：按行业通行标准和乙方投标文件的承诺（不低于国家相关标准）。</w:t>
      </w:r>
      <w:r/>
    </w:p>
    <w:p>
      <w:pPr>
        <w:ind w:firstLine="482"/>
        <w:spacing w:line="360" w:lineRule="auto"/>
        <w:rPr>
          <w:rFonts w:hint="eastAsia" w:ascii="仿宋" w:hAnsi="仿宋" w:eastAsia="仿宋" w:cs="仿宋"/>
          <w:b/>
          <w:bCs/>
          <w:color w:val="000000"/>
          <w:sz w:val="24"/>
          <w:szCs w:val="24"/>
          <w:highlight w:val="none"/>
        </w:rPr>
        <w:outlineLvl w:val="1"/>
      </w:pPr>
      <w:r/>
      <w:bookmarkStart w:id="94" w:name="_Toc16562"/>
      <w:r>
        <w:rPr>
          <w:rFonts w:hint="eastAsia" w:ascii="仿宋" w:hAnsi="仿宋" w:eastAsia="仿宋" w:cs="仿宋"/>
          <w:b/>
          <w:bCs/>
          <w:color w:val="000000"/>
          <w:sz w:val="24"/>
          <w:szCs w:val="24"/>
          <w:highlight w:val="none"/>
        </w:rPr>
        <w:t xml:space="preserve">第七条 伴随服务/售后服务</w:t>
      </w:r>
      <w:bookmarkEnd w:id="94"/>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1、乙方应按照国家有关法律法规规章和“三包”规定以及招投标文件所规定的“服务承诺”提供服务。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2、除前款规定外，乙方还应提供下列服务。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（1）服务的启动监督；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（2）对甲方人员必要的免费培训。</w:t>
      </w:r>
      <w:r/>
    </w:p>
    <w:p>
      <w:pPr>
        <w:ind w:firstLine="482"/>
        <w:spacing w:line="360" w:lineRule="auto"/>
        <w:rPr>
          <w:rFonts w:hint="eastAsia" w:ascii="仿宋" w:hAnsi="仿宋" w:eastAsia="仿宋" w:cs="仿宋"/>
          <w:b/>
          <w:bCs/>
          <w:color w:val="000000"/>
          <w:sz w:val="24"/>
          <w:szCs w:val="24"/>
          <w:highlight w:val="none"/>
        </w:rPr>
        <w:outlineLvl w:val="1"/>
      </w:pPr>
      <w:r/>
      <w:bookmarkStart w:id="95" w:name="_Toc12288"/>
      <w:r>
        <w:rPr>
          <w:rFonts w:hint="eastAsia" w:ascii="仿宋" w:hAnsi="仿宋" w:eastAsia="仿宋" w:cs="仿宋"/>
          <w:b/>
          <w:bCs/>
          <w:color w:val="000000"/>
          <w:sz w:val="24"/>
          <w:szCs w:val="24"/>
          <w:highlight w:val="none"/>
        </w:rPr>
        <w:t xml:space="preserve">第八条 劳务关系</w:t>
      </w:r>
      <w:bookmarkEnd w:id="95"/>
      <w:r/>
      <w:r/>
    </w:p>
    <w:p>
      <w:pPr>
        <w:ind w:left="0"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1、甲方安排乙方从事的工作任务包括：</w:t>
      </w:r>
      <w:r/>
    </w:p>
    <w:p>
      <w:p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日常农村污水处理系统的建设与运维情况管理工作包括：在合同期内对汤山、淳化、横溪、湖熟街道的758个自然村的农村污水处理系统的排水源头溯源排查、农户生活污水接入、非生活污水接入、内部污水管网运维、终端处理设施运维等情况进行四轮全覆盖监督巡查，不定期对农污设施运维情况进行安全检查;运维管理情况以及巡查情况形成日常巡检记录，每季度形成巡查报告，年终形成工作总结报告。</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（2）进出水水质监测工作包括：根据《南京市农村生活污水处理设施建设与运营管理技术导则》要求，对标</w:t>
      </w:r>
      <w:r>
        <w:rPr>
          <w:rFonts w:hint="eastAsia" w:ascii="仿宋" w:hAnsi="仿宋" w:eastAsia="仿宋" w:cs="仿宋"/>
          <w:color w:val="000000"/>
          <w:sz w:val="24"/>
          <w:szCs w:val="24"/>
          <w:highlight w:val="none"/>
          <w:lang w:val="en-US" w:eastAsia="zh-CN"/>
        </w:rPr>
        <w:t xml:space="preserve">段服务范围内的农村污水处理设施的进出水开展抽检，并形成水质检测报告以及问题原因分析报告报送至区水务局（抽查范围与每月抽检数量由实际情况动态调整。服务期内共计抽检260座农村污水处理设施进出水水质，其中针对受小作坊影响的设施，每季度全覆盖进行一次进出水水质检测，全年共抽检约160套次；其余常规农污设备全年共抽检约80套次，两个标段设施具体抽检数与抽点点位由我局依据实际工作计划动态调整并提前布置；每季度交叉抽取另一标段一定数量的重点设施进行水质复测，或抽取上季度不合格设施总数的10%以上设施进行整改后复测。）。</w:t>
      </w:r>
      <w:r/>
    </w:p>
    <w:p>
      <w:pPr>
        <w:pStyle w:val="700"/>
        <w:rPr>
          <w:rFonts w:hint="eastAsia"/>
          <w:highlight w:val="none"/>
        </w:rPr>
      </w:pPr>
      <w:r>
        <w:rPr>
          <w:rFonts w:hint="eastAsia" w:ascii="仿宋" w:hAnsi="仿宋" w:eastAsia="仿宋" w:cs="仿宋"/>
          <w:color w:val="000000"/>
          <w:sz w:val="24"/>
          <w:szCs w:val="24"/>
          <w:highlight w:val="none"/>
          <w:lang w:val="en-US" w:eastAsia="zh-CN"/>
        </w:rPr>
        <w:t xml:space="preserve">（3）农村污水处理系统运维考核工作包括：根据《江宁区农村污水处理设施建设与运维考核办法》要求，综合日常运维情况管理和进出水水质监测工作结果，为区水务局每季度对农污系统运维单位的运维情况考核提供技术支撑，作为农村长效管护资金拨付依据。</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乙方应按照甲方安排的实施时间完成甲方指定的工作任务。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2、乙方工作应达到甲方规定的要求和规定的标准。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根据乙方完成工作任务的进程和实际工程进度要求等因素，甲方有权调整乙方的工作任务，建议乙方撤换不称职人员。不论何种情况致乙方工作岗位发生变化的，甲方还可根据实际情况相应调整乙方的报酬，乙方对此予认可并服从。</w:t>
      </w:r>
      <w:r/>
    </w:p>
    <w:p>
      <w:pPr>
        <w:ind w:firstLine="482"/>
        <w:spacing w:line="360" w:lineRule="auto"/>
        <w:rPr>
          <w:rFonts w:hint="eastAsia" w:ascii="仿宋" w:hAnsi="仿宋" w:eastAsia="仿宋" w:cs="仿宋"/>
          <w:b/>
          <w:bCs/>
          <w:i/>
          <w:iCs/>
          <w:color w:val="000000"/>
          <w:sz w:val="24"/>
          <w:szCs w:val="24"/>
          <w:highlight w:val="none"/>
        </w:rPr>
        <w:outlineLvl w:val="1"/>
      </w:pPr>
      <w:r/>
      <w:bookmarkStart w:id="96" w:name="_Toc15572"/>
      <w:r>
        <w:rPr>
          <w:rFonts w:hint="eastAsia" w:ascii="仿宋" w:hAnsi="仿宋" w:eastAsia="仿宋" w:cs="仿宋"/>
          <w:b/>
          <w:bCs/>
          <w:color w:val="000000"/>
          <w:sz w:val="24"/>
          <w:szCs w:val="24"/>
          <w:highlight w:val="none"/>
        </w:rPr>
        <w:t xml:space="preserve">第九条 合同款支付</w:t>
      </w:r>
      <w:bookmarkEnd w:id="96"/>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1、本合同项下所有款项均以人民币支付。</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2、本合同项下的采购资金由甲方自行支付，乙方向甲方开具发票。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3、付款条</w:t>
      </w:r>
      <w:r>
        <w:rPr>
          <w:rFonts w:hint="eastAsia" w:ascii="仿宋" w:hAnsi="仿宋" w:eastAsia="仿宋" w:cs="仿宋"/>
          <w:color w:val="000000"/>
          <w:sz w:val="24"/>
          <w:szCs w:val="24"/>
          <w:highlight w:val="none"/>
        </w:rPr>
        <w:t xml:space="preserve">件：按工作量，自合同签订之日起甲方每三个月对乙方三个月内的工作量进行考核，根据中标供应商分项报价表中各项的实际完成工作量支付已完成工作量的服务费。(注:本合同项下的采购资金由采购人自行支付，乙方向甲方开具发票。)(核分值 90分及以上为优秀，则可以获得当次申请支付外包服务价款的 100%;考核分值50分及以上，90分以下的为良好，每扣1分则扣除当次申请支付外包服务价款2.5%;考核分值在50分以下的为不合格，考核评分低于50分或被认定为不合格的季度，扣除当次申请支付外包服务价款的 100%。)</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4、前款所述价款中已包含所有费用。甲方无需再另行向乙方支付任何其他费用。</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 xml:space="preserve">5、甲方对乙方的管理与</w:t>
      </w:r>
      <w:r>
        <w:rPr>
          <w:rFonts w:hint="eastAsia" w:ascii="仿宋" w:hAnsi="仿宋" w:eastAsia="仿宋" w:cs="仿宋"/>
          <w:bCs/>
          <w:color w:val="000000"/>
          <w:sz w:val="24"/>
          <w:szCs w:val="24"/>
          <w:highlight w:val="none"/>
          <w:lang w:eastAsia="zh-CN"/>
        </w:rPr>
        <w:t xml:space="preserve">考核</w:t>
      </w:r>
      <w:r>
        <w:rPr>
          <w:rFonts w:hint="eastAsia" w:ascii="仿宋" w:hAnsi="仿宋" w:eastAsia="仿宋" w:cs="仿宋"/>
          <w:bCs/>
          <w:color w:val="000000"/>
          <w:sz w:val="24"/>
          <w:szCs w:val="24"/>
          <w:highlight w:val="none"/>
        </w:rPr>
        <w:t xml:space="preserve">办法遵循甲方制定的《南京市江宁区农村污水处理系统建设和运维管理技术服务考核细则》</w:t>
      </w:r>
      <w:r>
        <w:rPr>
          <w:rFonts w:hint="eastAsia" w:ascii="仿宋" w:hAnsi="仿宋" w:eastAsia="仿宋" w:cs="仿宋"/>
          <w:bCs/>
          <w:color w:val="000000"/>
          <w:sz w:val="24"/>
          <w:szCs w:val="24"/>
          <w:highlight w:val="none"/>
          <w:lang w:eastAsia="zh-CN"/>
        </w:rPr>
        <w:t xml:space="preserve">（详见招标文件）</w:t>
      </w:r>
      <w:r>
        <w:rPr>
          <w:rFonts w:hint="eastAsia" w:ascii="仿宋" w:hAnsi="仿宋" w:eastAsia="仿宋" w:cs="仿宋"/>
          <w:bCs/>
          <w:color w:val="000000"/>
          <w:sz w:val="24"/>
          <w:szCs w:val="24"/>
          <w:highlight w:val="none"/>
        </w:rPr>
        <w:t xml:space="preserve">。</w:t>
      </w:r>
      <w:r/>
    </w:p>
    <w:p>
      <w:pPr>
        <w:ind w:firstLine="420"/>
        <w:spacing w:line="360" w:lineRule="auto"/>
        <w:rPr>
          <w:rFonts w:hint="eastAsia" w:ascii="仿宋" w:hAnsi="仿宋" w:eastAsia="仿宋" w:cs="仿宋"/>
          <w:b/>
          <w:bCs/>
          <w:color w:val="000000"/>
          <w:sz w:val="24"/>
          <w:szCs w:val="24"/>
          <w:highlight w:val="none"/>
        </w:rPr>
        <w:outlineLvl w:val="1"/>
      </w:pPr>
      <w:r/>
      <w:bookmarkStart w:id="97" w:name="_Toc8206"/>
      <w:r>
        <w:rPr>
          <w:rFonts w:hint="eastAsia" w:ascii="仿宋" w:hAnsi="仿宋" w:eastAsia="仿宋" w:cs="仿宋"/>
          <w:b/>
          <w:bCs/>
          <w:color w:val="000000"/>
          <w:sz w:val="24"/>
          <w:szCs w:val="24"/>
          <w:highlight w:val="none"/>
        </w:rPr>
        <w:t xml:space="preserve">第十条 违约责任</w:t>
      </w:r>
      <w:bookmarkEnd w:id="97"/>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1、甲方无正当理由拒收服务、拒付服务款的，由甲方向乙方偿付合同总价的5%违约金。</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2、甲方未按合同规定的期限向乙方支付服务款的，每逾期1天甲方向乙方偿付欠款总额的5‰滞纳金，但累计滞纳金总额不超过欠款总额的5% 。</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3、如乙方不能交付服务的，乙方应向甲方支付合同总价5%的违约金。</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4、乙方逾期交付的，每逾期1天，乙方向甲方偿付合同总额的5‰的滞纳金。如乙方逾期交付达10天，甲方有权解除合同，解除合同的通知自到达乙方时生效。</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7、乙方未按本合同的规定和“服务承诺”提供伴随服务/售后服务的，应按合同总价款的5%向甲方承担违约责任。</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8、乙方在建设</w:t>
      </w:r>
      <w:r>
        <w:rPr>
          <w:rFonts w:hint="eastAsia" w:ascii="仿宋" w:hAnsi="仿宋" w:eastAsia="仿宋" w:cs="仿宋"/>
          <w:color w:val="000000"/>
          <w:sz w:val="24"/>
          <w:szCs w:val="24"/>
          <w:highlight w:val="none"/>
          <w:lang w:eastAsia="zh-CN"/>
        </w:rPr>
        <w:t xml:space="preserve">及运维</w:t>
      </w:r>
      <w:r>
        <w:rPr>
          <w:rFonts w:hint="eastAsia" w:ascii="仿宋" w:hAnsi="仿宋" w:eastAsia="仿宋" w:cs="仿宋"/>
          <w:color w:val="000000"/>
          <w:sz w:val="24"/>
          <w:szCs w:val="24"/>
          <w:highlight w:val="none"/>
        </w:rPr>
        <w:t xml:space="preserve">情况监督和质量安全监督过程中不认真履行职责，发现问题不及时指出并督促整改的，经区水务局抽查发现或举报查实的，扣除10000元/村，造成严重不良影响的，可追加扣除20000-50000元/次。</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9、乙方在有上述一项或多项违约责任的，除承担违约责任的仍应继续履行合同规定的义务（甲方解除合同的除外）。甲方未能及时追究乙方的任何一项违约责任并不表明甲方放弃追究乙方该项或其他违约责任。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10、乙方投标属虚假承诺，或经权威部门监测提供的服务不能满足招标文件要求，或是由于乙方的过错造成合同无法继续履行的，乙方应向甲方支付不少于合同总价30%赔偿金。</w:t>
      </w:r>
      <w:r/>
    </w:p>
    <w:p>
      <w:pPr>
        <w:ind w:firstLine="482"/>
        <w:spacing w:line="360" w:lineRule="auto"/>
        <w:widowControl/>
        <w:rPr>
          <w:rFonts w:hint="eastAsia" w:ascii="仿宋" w:hAnsi="仿宋" w:eastAsia="仿宋" w:cs="仿宋"/>
          <w:b/>
          <w:bCs/>
          <w:color w:val="000000"/>
          <w:sz w:val="24"/>
          <w:szCs w:val="24"/>
          <w:highlight w:val="none"/>
        </w:rPr>
        <w:outlineLvl w:val="1"/>
      </w:pPr>
      <w:r/>
      <w:bookmarkStart w:id="98" w:name="_Toc19310"/>
      <w:r>
        <w:rPr>
          <w:rFonts w:hint="eastAsia" w:ascii="仿宋" w:hAnsi="仿宋" w:eastAsia="仿宋" w:cs="仿宋"/>
          <w:b/>
          <w:bCs/>
          <w:color w:val="000000"/>
          <w:sz w:val="24"/>
          <w:szCs w:val="24"/>
          <w:highlight w:val="none"/>
        </w:rPr>
        <w:t xml:space="preserve">第十一条 项目履约验收</w:t>
      </w:r>
      <w:bookmarkEnd w:id="98"/>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1、甲方有权对乙方项目实施执行过程及完成结果进行履约验收；</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2、甲方可以邀请参加本项目的其他供应商或者第三方机构参与验收，乙方应积极配合并响应；</w:t>
      </w:r>
      <w:r/>
    </w:p>
    <w:p>
      <w:pPr>
        <w:ind w:firstLine="48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3、参与验收的供应商或者第三方机构的意见作为验收书的参考资料一并存档。</w:t>
      </w:r>
      <w:r/>
    </w:p>
    <w:p>
      <w:pPr>
        <w:ind w:firstLine="482"/>
        <w:spacing w:line="360" w:lineRule="auto"/>
        <w:widowControl/>
        <w:rPr>
          <w:rFonts w:hint="eastAsia" w:ascii="仿宋" w:hAnsi="仿宋" w:eastAsia="仿宋" w:cs="仿宋"/>
          <w:b/>
          <w:bCs/>
          <w:color w:val="000000"/>
          <w:sz w:val="24"/>
          <w:szCs w:val="24"/>
          <w:highlight w:val="none"/>
        </w:rPr>
        <w:outlineLvl w:val="1"/>
      </w:pPr>
      <w:r/>
      <w:bookmarkStart w:id="99" w:name="_Toc13211"/>
      <w:r>
        <w:rPr>
          <w:rFonts w:hint="eastAsia" w:ascii="仿宋" w:hAnsi="仿宋" w:eastAsia="仿宋" w:cs="仿宋"/>
          <w:b/>
          <w:bCs/>
          <w:color w:val="000000"/>
          <w:sz w:val="24"/>
          <w:szCs w:val="24"/>
          <w:highlight w:val="none"/>
        </w:rPr>
        <w:t xml:space="preserve">第十二条 合同的终止和解除</w:t>
      </w:r>
      <w:bookmarkEnd w:id="99"/>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1、本合同期满如双方未续签，则本合同自行终止。</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2、甲方有权视业务需要及乙方工作表现等行使单方解除本合同的权利，但应提前3天给予乙方解除合同的书面通知。除应当支付的劳务报酬外，甲方不向乙方支付任何补偿。</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3、符合下列情况的，乙方可解除本合同：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（1）甲方不能按照本合同约定支付劳务报酬。</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4、乙方解除本合同应提前3日通知甲方。如乙方非因前款所述原因擅自提前解除本协议，如由此给甲方造成其他损失的，乙方应据实赔偿。</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5、本合同终止或解除后7日内，乙方应将有关工作向甲方移交完毕。甲方在乙方办理完工作移交手续后3日内结算应付乙方的劳务报酬。如乙方未按本协议约定进行工作交接，应赔偿由此给甲方造成的全部损失。</w:t>
      </w:r>
      <w:r/>
    </w:p>
    <w:p>
      <w:pPr>
        <w:ind w:firstLine="482"/>
        <w:spacing w:line="360" w:lineRule="auto"/>
        <w:widowControl/>
        <w:rPr>
          <w:rFonts w:hint="eastAsia" w:ascii="仿宋" w:hAnsi="仿宋" w:eastAsia="仿宋" w:cs="仿宋"/>
          <w:b/>
          <w:bCs/>
          <w:color w:val="000000"/>
          <w:sz w:val="24"/>
          <w:szCs w:val="24"/>
          <w:highlight w:val="none"/>
        </w:rPr>
        <w:outlineLvl w:val="1"/>
      </w:pPr>
      <w:r/>
      <w:bookmarkStart w:id="100" w:name="_Toc16348"/>
      <w:r>
        <w:rPr>
          <w:rFonts w:hint="eastAsia" w:ascii="仿宋" w:hAnsi="仿宋" w:eastAsia="仿宋" w:cs="仿宋"/>
          <w:b/>
          <w:bCs/>
          <w:color w:val="000000"/>
          <w:sz w:val="24"/>
          <w:szCs w:val="24"/>
          <w:highlight w:val="none"/>
        </w:rPr>
        <w:t xml:space="preserve">第十三条 合同的转让</w:t>
      </w:r>
      <w:bookmarkEnd w:id="100"/>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乙方不得擅自部分或全部转让其应履行的合同义务。</w:t>
      </w:r>
      <w:r/>
    </w:p>
    <w:p>
      <w:pPr>
        <w:ind w:firstLine="482"/>
        <w:spacing w:line="360" w:lineRule="auto"/>
        <w:widowControl/>
        <w:rPr>
          <w:rFonts w:hint="eastAsia" w:ascii="仿宋" w:hAnsi="仿宋" w:eastAsia="仿宋" w:cs="仿宋"/>
          <w:b/>
          <w:bCs/>
          <w:color w:val="000000"/>
          <w:sz w:val="24"/>
          <w:szCs w:val="24"/>
          <w:highlight w:val="none"/>
        </w:rPr>
        <w:outlineLvl w:val="1"/>
      </w:pPr>
      <w:r/>
      <w:bookmarkStart w:id="101" w:name="_Toc432"/>
      <w:r>
        <w:rPr>
          <w:rFonts w:hint="eastAsia" w:ascii="仿宋" w:hAnsi="仿宋" w:eastAsia="仿宋" w:cs="仿宋"/>
          <w:b/>
          <w:bCs/>
          <w:color w:val="000000"/>
          <w:sz w:val="24"/>
          <w:szCs w:val="24"/>
          <w:highlight w:val="none"/>
        </w:rPr>
        <w:t xml:space="preserve">第十四条 争议的解决</w:t>
      </w:r>
      <w:bookmarkEnd w:id="101"/>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2、因履行本合同引起的或与本合同有关的争议，甲、乙双方应首先通过友好协商解决，如果协商不能解决争议，则采取以下第（ 1 ）种方式解决争议：</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（1）向甲方所在地有管辖权的人民法院提起诉讼；</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（2）向南京仲裁委员会按其仲裁规则申请仲裁。</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如没有约定，默认采取第2种方式解决争议。</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2、在仲裁期间，本合同应继续履行。</w:t>
      </w:r>
      <w:r/>
    </w:p>
    <w:p>
      <w:pPr>
        <w:ind w:firstLine="482"/>
        <w:spacing w:line="360" w:lineRule="auto"/>
        <w:widowControl/>
        <w:rPr>
          <w:rFonts w:hint="eastAsia" w:ascii="仿宋" w:hAnsi="仿宋" w:eastAsia="仿宋" w:cs="仿宋"/>
          <w:b/>
          <w:bCs/>
          <w:color w:val="000000"/>
          <w:sz w:val="24"/>
          <w:szCs w:val="24"/>
          <w:highlight w:val="none"/>
        </w:rPr>
        <w:outlineLvl w:val="1"/>
      </w:pPr>
      <w:r/>
      <w:bookmarkStart w:id="102" w:name="_Toc10655"/>
      <w:r>
        <w:rPr>
          <w:rFonts w:hint="eastAsia" w:ascii="仿宋" w:hAnsi="仿宋" w:eastAsia="仿宋" w:cs="仿宋"/>
          <w:b/>
          <w:bCs/>
          <w:color w:val="000000"/>
          <w:sz w:val="24"/>
          <w:szCs w:val="24"/>
          <w:highlight w:val="none"/>
        </w:rPr>
        <w:t xml:space="preserve">第十五条 诚实信用</w:t>
      </w:r>
      <w:bookmarkEnd w:id="102"/>
      <w:r>
        <w:rPr>
          <w:rFonts w:hint="eastAsia" w:ascii="仿宋" w:hAnsi="仿宋" w:eastAsia="仿宋" w:cs="仿宋"/>
          <w:b/>
          <w:bCs/>
          <w:color w:val="000000"/>
          <w:sz w:val="24"/>
          <w:szCs w:val="24"/>
          <w:highlight w:val="none"/>
        </w:rPr>
        <w:t xml:space="preserve"> </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乙方应诚实信用，严格按照招标文件要求和投标承诺履行合同，不向甲方进行商业贿赂或者提供不正当利益。</w:t>
      </w:r>
      <w:r/>
    </w:p>
    <w:p>
      <w:pPr>
        <w:ind w:firstLine="482"/>
        <w:spacing w:line="360" w:lineRule="auto"/>
        <w:widowControl/>
        <w:rPr>
          <w:rFonts w:hint="eastAsia" w:ascii="仿宋" w:hAnsi="仿宋" w:eastAsia="仿宋" w:cs="仿宋"/>
          <w:b/>
          <w:bCs/>
          <w:color w:val="000000"/>
          <w:sz w:val="24"/>
          <w:szCs w:val="24"/>
          <w:highlight w:val="none"/>
        </w:rPr>
        <w:outlineLvl w:val="1"/>
      </w:pPr>
      <w:r/>
      <w:bookmarkStart w:id="103" w:name="_Toc17916"/>
      <w:r>
        <w:rPr>
          <w:rFonts w:hint="eastAsia" w:ascii="仿宋" w:hAnsi="仿宋" w:eastAsia="仿宋" w:cs="仿宋"/>
          <w:b/>
          <w:bCs/>
          <w:color w:val="000000"/>
          <w:sz w:val="24"/>
          <w:szCs w:val="24"/>
          <w:highlight w:val="none"/>
        </w:rPr>
        <w:t xml:space="preserve">第十六条 合同生效及其他</w:t>
      </w:r>
      <w:bookmarkEnd w:id="103"/>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1、本合同自签订之日起生效。</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Start w:id="104" w:name="_Hlk120887732"/>
      <w:r>
        <w:rPr>
          <w:rFonts w:hint="eastAsia" w:ascii="仿宋" w:hAnsi="仿宋" w:eastAsia="仿宋" w:cs="仿宋"/>
          <w:color w:val="000000"/>
          <w:sz w:val="24"/>
          <w:szCs w:val="24"/>
          <w:highlight w:val="none"/>
        </w:rPr>
        <w:t xml:space="preserve">本合同一式陆份，甲乙双方各执贰份，壹份交采购代理机构存档，壹份报送政府采购监督管理部门备案。</w:t>
      </w:r>
      <w:bookmarkEnd w:id="104"/>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3、本合同应按照中华人民共和国的现行法律进行解释。</w:t>
      </w:r>
      <w:r/>
    </w:p>
    <w:p>
      <w:pPr>
        <w:ind w:firstLine="482"/>
        <w:spacing w:line="360" w:lineRule="auto"/>
        <w:widowControl/>
        <w:rPr>
          <w:rFonts w:hint="eastAsia" w:ascii="仿宋" w:hAnsi="仿宋" w:eastAsia="仿宋" w:cs="仿宋"/>
          <w:b/>
          <w:bCs/>
          <w:color w:val="000000"/>
          <w:sz w:val="24"/>
          <w:szCs w:val="24"/>
          <w:highlight w:val="none"/>
        </w:rPr>
        <w:outlineLvl w:val="1"/>
      </w:pPr>
      <w:r/>
      <w:bookmarkStart w:id="105" w:name="_Toc24341"/>
      <w:r>
        <w:rPr>
          <w:rFonts w:hint="eastAsia" w:ascii="仿宋" w:hAnsi="仿宋" w:eastAsia="仿宋" w:cs="仿宋"/>
          <w:b/>
          <w:bCs/>
          <w:color w:val="000000"/>
          <w:sz w:val="24"/>
          <w:szCs w:val="24"/>
          <w:highlight w:val="none"/>
        </w:rPr>
        <w:t xml:space="preserve">第十七条  合同附加协议条款</w:t>
      </w:r>
      <w:bookmarkEnd w:id="105"/>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1、所有对施工方、建设方发出的指令和文件均需征求委托人意见。</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2、服务工程中，应完成委托人发出的各项工作指令。</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3、服务单位应配备投标书中承诺的专业人员，履约期间如确需人员调动，须得到委托人的认可。</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4、投标文件中所列的用于本工程的检测设备、仪器，应根据需要及时到位。</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项目负责人每周在工地上上班时间不少于6个工作日，每天不少于8个小时，且原则上不允许更换，确需更换的，必须提前一周向委托人书面提出申请并获得批准，同时更换的负责人在资质、业绩等方面的条件不得低于原负责人；服务单位所有人员不得随意更换，因特殊情况确需更换的，必须提前一周向委托人书面提出申请并获得批准方可进行更换，否则则按10000元/人. 次扣除服务费用。</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6、服务单位人员必须廉洁守法，不得向施工方或材料供应商索贿、受贿，不得擅自参加施工的 宴请或收受礼品、礼金，在工程建设中不得向施工方指定某厂家、某品牌的建筑材料。对违反上述行为的人员委托人有权要求撤换。</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Style w:val="699"/>
        <w:tblW w:w="8692" w:type="dxa"/>
        <w:tblInd w:w="486" w:type="dxa"/>
        <w:tblLayout w:type="fixed"/>
        <w:tblCellMar>
          <w:left w:w="0" w:type="dxa"/>
          <w:top w:w="0" w:type="dxa"/>
          <w:right w:w="0" w:type="dxa"/>
          <w:bottom w:w="0" w:type="dxa"/>
        </w:tblCellMar>
        <w:tblLook w:val="04A0" w:firstRow="1" w:lastRow="0" w:firstColumn="1" w:lastColumn="0" w:noHBand="0" w:noVBand="1"/>
      </w:tblPr>
      <w:tblGrid>
        <w:gridCol w:w="4759"/>
        <w:gridCol w:w="3933"/>
      </w:tblGrid>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甲方（采购人）：</w:t>
            </w:r>
            <w:r>
              <w:rPr>
                <w:rFonts w:hint="eastAsia" w:ascii="仿宋" w:hAnsi="仿宋" w:eastAsia="仿宋" w:cs="仿宋"/>
                <w:color w:val="000000"/>
                <w:sz w:val="24"/>
                <w:szCs w:val="24"/>
                <w:highlight w:val="none"/>
                <w:lang w:eastAsia="zh-CN"/>
              </w:rPr>
              <w:t xml:space="preserve">南京市江宁区水务局</w:t>
            </w:r>
            <w:r>
              <w:rPr>
                <w:rFonts w:hint="eastAsia" w:ascii="仿宋" w:hAnsi="仿宋" w:eastAsia="仿宋" w:cs="仿宋"/>
                <w:color w:val="000000"/>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lang w:val="en-US" w:eastAsia="zh-CN"/>
              </w:rPr>
              <w:t xml:space="preserve">025-52281518</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通讯地址：南京市江宁区天元中路189号</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帐    号：</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帐    号：</w:t>
            </w:r>
            <w:r/>
          </w:p>
        </w:tc>
      </w:tr>
    </w:tbl>
    <w:p>
      <w:pPr>
        <w:jc w:val="center"/>
        <w:spacing w:line="360" w:lineRule="auto"/>
        <w:rPr>
          <w:rFonts w:hint="eastAsia" w:ascii="仿宋" w:hAnsi="仿宋" w:eastAsia="仿宋" w:cs="仿宋"/>
          <w:b/>
          <w:bCs/>
          <w:color w:val="000000"/>
          <w:sz w:val="56"/>
          <w:highlight w:val="none"/>
        </w:rPr>
        <w:outlineLvl w:val="1"/>
      </w:pPr>
      <w:r>
        <w:rPr>
          <w:rFonts w:ascii="宋体" w:hAnsi="宋体"/>
          <w:color w:val="000000"/>
          <w:sz w:val="21"/>
          <w:szCs w:val="21"/>
          <w:highlight w:val="none"/>
        </w:rPr>
        <w:br w:type="page" w:clear="all"/>
      </w:r>
      <w:r>
        <w:rPr>
          <w:rFonts w:hint="eastAsia" w:ascii="仿宋" w:hAnsi="仿宋" w:eastAsia="仿宋" w:cs="仿宋"/>
          <w:b/>
          <w:bCs/>
          <w:color w:val="000000"/>
          <w:sz w:val="56"/>
          <w:highlight w:val="none"/>
        </w:rPr>
        <w:t xml:space="preserve">南京市政府采购合同</w:t>
      </w:r>
      <w:r/>
    </w:p>
    <w:p>
      <w:pPr>
        <w:jc w:val="center"/>
        <w:spacing w:line="360" w:lineRule="auto"/>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pStyle w:val="980"/>
        <w:ind w:firstLine="1120"/>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pStyle w:val="700"/>
        <w:rPr>
          <w:rFonts w:hint="eastAsia" w:ascii="仿宋" w:hAnsi="仿宋" w:eastAsia="仿宋" w:cs="仿宋"/>
          <w:color w:val="000000"/>
          <w:sz w:val="56"/>
          <w:highlight w:val="none"/>
        </w:rPr>
      </w:pPr>
      <w:r>
        <w:rPr>
          <w:rFonts w:hint="eastAsia" w:ascii="仿宋" w:hAnsi="仿宋" w:eastAsia="仿宋" w:cs="仿宋"/>
          <w:color w:val="000000"/>
          <w:sz w:val="56"/>
          <w:highlight w:val="none"/>
        </w:rPr>
      </w:r>
      <w:r/>
    </w:p>
    <w:p>
      <w:pPr>
        <w:rPr>
          <w:rFonts w:hint="eastAsia"/>
        </w:rPr>
      </w:pPr>
      <w:r>
        <w:rPr>
          <w:rFonts w:hint="eastAsia"/>
        </w:rPr>
      </w:r>
      <w:r/>
    </w:p>
    <w:p>
      <w:pPr>
        <w:spacing w:line="360" w:lineRule="auto"/>
        <w:rPr>
          <w:rFonts w:hint="eastAsia" w:ascii="华文仿宋" w:hAnsi="华文仿宋" w:eastAsia="华文仿宋" w:cs="华文仿宋"/>
          <w:color w:val="000000"/>
          <w:sz w:val="28"/>
          <w:szCs w:val="21"/>
          <w:highlight w:val="none"/>
        </w:rPr>
      </w:pPr>
      <w:r>
        <w:rPr>
          <w:rFonts w:hint="eastAsia" w:ascii="华文仿宋" w:hAnsi="华文仿宋" w:eastAsia="华文仿宋" w:cs="华文仿宋"/>
          <w:color w:val="000000"/>
          <w:sz w:val="28"/>
          <w:szCs w:val="21"/>
          <w:highlight w:val="none"/>
        </w:rPr>
      </w:r>
      <w:r/>
    </w:p>
    <w:p>
      <w:pPr>
        <w:ind w:firstLine="1440"/>
        <w:spacing w:line="360" w:lineRule="auto"/>
        <w:rPr>
          <w:rFonts w:hint="eastAsia" w:ascii="华文仿宋" w:hAnsi="华文仿宋" w:eastAsia="华文仿宋" w:cs="华文仿宋"/>
          <w:color w:val="000000"/>
          <w:sz w:val="28"/>
          <w:szCs w:val="21"/>
          <w:highlight w:val="none"/>
        </w:rPr>
      </w:pPr>
      <w:r>
        <w:rPr>
          <w:rFonts w:hint="eastAsia" w:ascii="华文仿宋" w:hAnsi="华文仿宋" w:eastAsia="华文仿宋" w:cs="华文仿宋"/>
          <w:color w:val="000000"/>
          <w:sz w:val="28"/>
          <w:szCs w:val="21"/>
          <w:highlight w:val="none"/>
        </w:rPr>
      </w:r>
      <w:r/>
    </w:p>
    <w:p>
      <w:pPr>
        <w:ind w:firstLine="1960"/>
        <w:spacing w:line="360" w:lineRule="auto"/>
        <w:rPr>
          <w:rFonts w:hint="eastAsia" w:ascii="华文仿宋" w:hAnsi="华文仿宋" w:eastAsia="华文仿宋" w:cs="华文仿宋"/>
          <w:color w:val="000000"/>
          <w:sz w:val="28"/>
          <w:szCs w:val="21"/>
          <w:highlight w:val="none"/>
          <w:u w:val="single"/>
          <w:lang w:val="en-US"/>
        </w:rPr>
      </w:pPr>
      <w:r>
        <w:rPr>
          <w:rFonts w:hint="eastAsia" w:ascii="华文仿宋" w:hAnsi="华文仿宋" w:eastAsia="华文仿宋" w:cs="华文仿宋"/>
          <w:color w:val="000000"/>
          <w:sz w:val="28"/>
          <w:szCs w:val="21"/>
          <w:highlight w:val="none"/>
        </w:rPr>
        <w:t xml:space="preserve">项目编号：</w:t>
      </w:r>
      <w:r>
        <w:rPr>
          <w:rFonts w:hint="eastAsia" w:ascii="华文仿宋" w:hAnsi="华文仿宋" w:eastAsia="华文仿宋" w:cs="华文仿宋"/>
          <w:color w:val="000000"/>
          <w:sz w:val="28"/>
          <w:szCs w:val="21"/>
          <w:highlight w:val="none"/>
          <w:u w:val="single"/>
          <w:lang w:eastAsia="zh-CN"/>
        </w:rPr>
        <w:t xml:space="preserve">JSZC-320115-FHGL-G2025-0033</w:t>
      </w:r>
      <w:r>
        <w:rPr>
          <w:rFonts w:hint="eastAsia" w:ascii="华文仿宋" w:hAnsi="华文仿宋" w:eastAsia="华文仿宋" w:cs="华文仿宋"/>
          <w:color w:val="000000"/>
          <w:sz w:val="28"/>
          <w:szCs w:val="21"/>
          <w:highlight w:val="none"/>
          <w:u w:val="singl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u w:val="single"/>
          <w:lang w:val="en-US"/>
        </w:rPr>
      </w:pPr>
      <w:r>
        <w:rPr>
          <w:rFonts w:hint="eastAsia" w:ascii="华文仿宋" w:hAnsi="华文仿宋" w:eastAsia="华文仿宋" w:cs="华文仿宋"/>
          <w:color w:val="000000"/>
          <w:sz w:val="28"/>
          <w:szCs w:val="21"/>
          <w:highlight w:val="none"/>
        </w:rPr>
        <w:t xml:space="preserve">项目名称：</w:t>
      </w:r>
      <w:r>
        <w:rPr>
          <w:rFonts w:hint="eastAsia" w:ascii="华文仿宋" w:hAnsi="华文仿宋" w:eastAsia="华文仿宋" w:cs="华文仿宋"/>
          <w:color w:val="000000"/>
          <w:sz w:val="28"/>
          <w:szCs w:val="21"/>
          <w:highlight w:val="none"/>
          <w:u w:val="single"/>
          <w:lang w:eastAsia="zh-CN"/>
        </w:rPr>
        <w:t xml:space="preserve">2026年全区农污处理设施建设运维监督管理技术服务</w:t>
      </w:r>
      <w:r>
        <w:rPr>
          <w:rFonts w:hint="eastAsia" w:ascii="华文仿宋" w:hAnsi="华文仿宋" w:eastAsia="华文仿宋" w:cs="华文仿宋"/>
          <w:color w:val="000000"/>
          <w:sz w:val="28"/>
          <w:szCs w:val="21"/>
          <w:highlight w:val="none"/>
          <w:u w:val="singl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lang w:val="en-US"/>
        </w:rPr>
      </w:pPr>
      <w:r>
        <w:rPr>
          <w:rFonts w:hint="eastAsia" w:ascii="华文仿宋" w:hAnsi="华文仿宋" w:eastAsia="华文仿宋" w:cs="华文仿宋"/>
          <w:color w:val="000000"/>
          <w:sz w:val="28"/>
          <w:szCs w:val="21"/>
          <w:highlight w:val="none"/>
          <w:lang w:val="en-US"/>
        </w:rPr>
        <w:t xml:space="preserve">分 包 号：</w:t>
      </w:r>
      <w:r>
        <w:rPr>
          <w:rFonts w:hint="eastAsia" w:ascii="华文仿宋" w:hAnsi="华文仿宋" w:eastAsia="华文仿宋" w:cs="华文仿宋"/>
          <w:color w:val="000000"/>
          <w:sz w:val="28"/>
          <w:szCs w:val="21"/>
          <w:highlight w:val="none"/>
          <w:u w:val="single"/>
          <w:lang w:val="en-US" w:eastAsia="zh-CN"/>
        </w:rPr>
        <w:t xml:space="preserve">二标段       </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rPr>
      </w:pPr>
      <w:r>
        <w:rPr>
          <w:rFonts w:hint="eastAsia" w:ascii="华文仿宋" w:hAnsi="华文仿宋" w:eastAsia="华文仿宋" w:cs="华文仿宋"/>
          <w:color w:val="000000"/>
          <w:sz w:val="28"/>
          <w:szCs w:val="21"/>
          <w:highlight w:val="none"/>
          <w:lang w:val="en-US"/>
        </w:rPr>
        <w:t xml:space="preserve">采购</w:t>
      </w:r>
      <w:r>
        <w:rPr>
          <w:rFonts w:hint="eastAsia" w:ascii="华文仿宋" w:hAnsi="华文仿宋" w:eastAsia="华文仿宋" w:cs="华文仿宋"/>
          <w:color w:val="000000"/>
          <w:sz w:val="28"/>
          <w:szCs w:val="21"/>
          <w:highlight w:val="none"/>
        </w:rPr>
        <w:t xml:space="preserve">单位：</w:t>
      </w:r>
      <w:r>
        <w:rPr>
          <w:rFonts w:hint="eastAsia" w:ascii="华文仿宋" w:hAnsi="华文仿宋" w:eastAsia="华文仿宋" w:cs="华文仿宋"/>
          <w:color w:val="000000"/>
          <w:sz w:val="28"/>
          <w:szCs w:val="21"/>
          <w:highlight w:val="none"/>
          <w:u w:val="single"/>
          <w:lang w:eastAsia="zh-CN"/>
        </w:rPr>
        <w:t xml:space="preserve">南京市江宁区水务局</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rPr>
      </w:pPr>
      <w:r>
        <w:rPr>
          <w:rFonts w:hint="eastAsia" w:ascii="华文仿宋" w:hAnsi="华文仿宋" w:eastAsia="华文仿宋" w:cs="华文仿宋"/>
          <w:color w:val="000000"/>
          <w:sz w:val="28"/>
          <w:szCs w:val="21"/>
          <w:highlight w:val="none"/>
          <w:lang w:val="en-US"/>
        </w:rPr>
        <w:t xml:space="preserve">供 应 商</w:t>
      </w:r>
      <w:r>
        <w:rPr>
          <w:rFonts w:hint="eastAsia" w:ascii="华文仿宋" w:hAnsi="华文仿宋" w:eastAsia="华文仿宋" w:cs="华文仿宋"/>
          <w:color w:val="000000"/>
          <w:sz w:val="28"/>
          <w:szCs w:val="21"/>
          <w:highlight w:val="none"/>
        </w:rPr>
        <w:t xml:space="preserve">：</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u w:val="single"/>
          <w:lang w:val="en-US" w:eastAsia="zh-CN"/>
        </w:rPr>
        <w:t xml:space="preserve">             </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ind w:firstLine="1960"/>
        <w:spacing w:line="360" w:lineRule="auto"/>
        <w:rPr>
          <w:rFonts w:hint="eastAsia" w:ascii="华文仿宋" w:hAnsi="华文仿宋" w:eastAsia="华文仿宋" w:cs="华文仿宋"/>
          <w:color w:val="000000"/>
          <w:sz w:val="28"/>
          <w:szCs w:val="21"/>
          <w:highlight w:val="none"/>
        </w:rPr>
      </w:pPr>
      <w:r>
        <w:rPr>
          <w:rFonts w:hint="eastAsia" w:ascii="华文仿宋" w:hAnsi="华文仿宋" w:eastAsia="华文仿宋" w:cs="华文仿宋"/>
          <w:color w:val="000000"/>
          <w:sz w:val="28"/>
          <w:szCs w:val="21"/>
          <w:highlight w:val="none"/>
        </w:rPr>
        <w:t xml:space="preserve">签订日期：</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u w:val="single"/>
          <w:lang w:val="en-US" w:eastAsia="zh-CN"/>
        </w:rPr>
        <w:t xml:space="preserve">             </w:t>
      </w:r>
      <w:r>
        <w:rPr>
          <w:rFonts w:hint="eastAsia" w:ascii="华文仿宋" w:hAnsi="华文仿宋" w:eastAsia="华文仿宋" w:cs="华文仿宋"/>
          <w:color w:val="000000"/>
          <w:sz w:val="28"/>
          <w:szCs w:val="21"/>
          <w:highlight w:val="none"/>
          <w:u w:val="single"/>
          <w:lang w:val="en-US"/>
        </w:rPr>
        <w:t xml:space="preserve">                            </w:t>
      </w:r>
      <w:r>
        <w:rPr>
          <w:rFonts w:hint="eastAsia" w:ascii="华文仿宋" w:hAnsi="华文仿宋" w:eastAsia="华文仿宋" w:cs="华文仿宋"/>
          <w:color w:val="000000"/>
          <w:sz w:val="28"/>
          <w:szCs w:val="21"/>
          <w:highlight w:val="none"/>
          <w:lang w:val="en-US"/>
        </w:rPr>
        <w:t xml:space="preserve">                               </w:t>
      </w:r>
      <w:r/>
    </w:p>
    <w:p>
      <w:pPr>
        <w:rPr>
          <w:rFonts w:hint="eastAsia"/>
          <w:color w:val="000000"/>
          <w:highlight w:val="none"/>
        </w:rPr>
      </w:pPr>
      <w:r>
        <w:rPr>
          <w:rFonts w:hint="eastAsia"/>
          <w:color w:val="000000"/>
          <w:highlight w:val="none"/>
        </w:rPr>
      </w:r>
      <w:r/>
    </w:p>
    <w:p>
      <w:pPr>
        <w:pStyle w:val="980"/>
        <w:ind w:firstLine="44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80"/>
        <w:ind w:firstLine="44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0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0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00"/>
        <w:rPr>
          <w:rFonts w:hint="eastAsia"/>
        </w:rPr>
      </w:pPr>
      <w:r>
        <w:rPr>
          <w:rFonts w:hint="eastAsia"/>
        </w:rPr>
      </w:r>
      <w:r/>
    </w:p>
    <w:tbl>
      <w:tblPr>
        <w:tblStyle w:val="699"/>
        <w:tblW w:w="9401" w:type="dxa"/>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rHeight w:val="561"/>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ind w:left="2400" w:hanging="24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采购人（以下称甲方）南京市江宁区水务局</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供应商：（以下称乙方）</w:t>
            </w:r>
            <w:r/>
          </w:p>
        </w:tc>
      </w:tr>
      <w:tr>
        <w:trPr>
          <w:trHeight w:val="499"/>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住所地：南京市江宁区天元东路189号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住所地：</w:t>
            </w:r>
            <w:r/>
          </w:p>
        </w:tc>
      </w:tr>
    </w:tbl>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根据《中华人民共和国政府采购法》、《中华人民共和国民法典》等法律法规的规定，甲乙双方按照采购代理机构的招标结果签订本合同。</w:t>
      </w:r>
      <w:r/>
    </w:p>
    <w:p>
      <w:pPr>
        <w:ind w:firstLine="482"/>
        <w:spacing w:line="360" w:lineRule="auto"/>
        <w:rPr>
          <w:rFonts w:hint="eastAsia" w:ascii="仿宋" w:hAnsi="仿宋" w:eastAsia="仿宋" w:cs="仿宋"/>
          <w:color w:val="000000"/>
          <w:sz w:val="24"/>
          <w:szCs w:val="24"/>
          <w:highlight w:val="none"/>
        </w:rPr>
        <w:outlineLvl w:val="1"/>
      </w:pPr>
      <w:r>
        <w:rPr>
          <w:rFonts w:hint="eastAsia" w:ascii="仿宋" w:hAnsi="仿宋" w:eastAsia="仿宋" w:cs="仿宋"/>
          <w:b/>
          <w:bCs/>
          <w:color w:val="000000"/>
          <w:sz w:val="24"/>
          <w:szCs w:val="24"/>
          <w:highlight w:val="none"/>
        </w:rPr>
        <w:t xml:space="preserve">第一条 合同标的</w:t>
      </w:r>
      <w:r>
        <w:rPr>
          <w:rFonts w:hint="eastAsia" w:ascii="仿宋" w:hAnsi="仿宋" w:eastAsia="仿宋" w:cs="仿宋"/>
          <w:color w:val="000000"/>
          <w:sz w:val="24"/>
          <w:szCs w:val="24"/>
          <w:highlight w:val="none"/>
        </w:rPr>
        <w:t xml:space="preserve">  </w:t>
      </w:r>
      <w:r/>
    </w:p>
    <w:p>
      <w:pPr>
        <w:ind w:firstLine="480"/>
        <w:spacing w:line="360" w:lineRule="auto"/>
        <w:rPr>
          <w:rFonts w:ascii="仿宋" w:hAnsi="仿宋" w:eastAsia="仿宋" w:cs="仿宋"/>
          <w:color w:val="000000"/>
          <w:sz w:val="24"/>
          <w:szCs w:val="24"/>
          <w:highlight w:val="none"/>
          <w:u w:val="single"/>
          <w:lang w:val="en-US"/>
        </w:rPr>
      </w:pPr>
      <w:r>
        <w:rPr>
          <w:rFonts w:hint="eastAsia" w:ascii="仿宋" w:hAnsi="仿宋" w:eastAsia="仿宋" w:cs="仿宋"/>
          <w:color w:val="000000"/>
          <w:sz w:val="24"/>
          <w:szCs w:val="24"/>
          <w:highlight w:val="none"/>
        </w:rPr>
        <w:t xml:space="preserve">1、乙方根据甲方需求提供下列服务：</w:t>
      </w:r>
      <w:r>
        <w:rPr>
          <w:rFonts w:hint="eastAsia" w:ascii="仿宋" w:hAnsi="仿宋" w:eastAsia="仿宋" w:cs="仿宋"/>
          <w:color w:val="000000"/>
          <w:sz w:val="24"/>
          <w:szCs w:val="24"/>
          <w:highlight w:val="none"/>
          <w:u w:val="single"/>
          <w:lang w:eastAsia="zh-CN"/>
        </w:rPr>
        <w:t xml:space="preserve">2026年全区农污处理设施建设运维监督管理技术服务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标包：二   。</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2、具体服务执行要求详见乙方投标文件。</w:t>
      </w:r>
      <w:r/>
    </w:p>
    <w:p>
      <w:pPr>
        <w:ind w:firstLine="482"/>
        <w:spacing w:line="360" w:lineRule="auto"/>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第二条 合同总价款</w:t>
      </w:r>
      <w:r/>
    </w:p>
    <w:p>
      <w:pPr>
        <w:ind w:firstLine="2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1、本合同项下服务总价款为___________（大写）人民币，分项价款在乙方“投标文件价格部分”中有明确规定。</w:t>
      </w:r>
      <w:r/>
    </w:p>
    <w:p>
      <w:pPr>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2、本合同总价款是完成本项目所发生的所有含税费用、支付给员工的工资和国家强制缴纳的各种社会保障资金</w:t>
      </w:r>
      <w:r>
        <w:rPr>
          <w:rFonts w:hint="eastAsia" w:ascii="仿宋" w:hAnsi="仿宋" w:eastAsia="仿宋" w:cs="仿宋"/>
          <w:bCs/>
          <w:color w:val="000000"/>
          <w:sz w:val="24"/>
          <w:szCs w:val="24"/>
          <w:highlight w:val="none"/>
        </w:rPr>
        <w:t xml:space="preserve">，以</w:t>
      </w:r>
      <w:r>
        <w:rPr>
          <w:rFonts w:hint="eastAsia" w:ascii="仿宋" w:hAnsi="仿宋" w:eastAsia="仿宋" w:cs="仿宋"/>
          <w:color w:val="000000"/>
          <w:sz w:val="24"/>
          <w:szCs w:val="24"/>
          <w:highlight w:val="none"/>
        </w:rPr>
        <w:t xml:space="preserve">及乙方认为需要的其他费用等。</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3、本合同执行期间合同总价款不变。</w:t>
      </w:r>
      <w:r/>
    </w:p>
    <w:p>
      <w:pPr>
        <w:ind w:firstLine="482"/>
        <w:spacing w:line="360" w:lineRule="auto"/>
        <w:rPr>
          <w:rFonts w:hint="eastAsia" w:ascii="仿宋" w:hAnsi="仿宋" w:eastAsia="仿宋" w:cs="仿宋"/>
          <w:color w:val="000000"/>
          <w:sz w:val="24"/>
          <w:szCs w:val="24"/>
          <w:highlight w:val="none"/>
        </w:rPr>
        <w:outlineLvl w:val="1"/>
      </w:pPr>
      <w:r>
        <w:rPr>
          <w:rFonts w:hint="eastAsia" w:ascii="仿宋" w:hAnsi="仿宋" w:eastAsia="仿宋" w:cs="仿宋"/>
          <w:b/>
          <w:bCs/>
          <w:color w:val="000000"/>
          <w:sz w:val="24"/>
          <w:szCs w:val="24"/>
          <w:highlight w:val="none"/>
        </w:rPr>
        <w:t xml:space="preserve">第三条 组成本合同的有关文件</w:t>
      </w:r>
      <w:r>
        <w:rPr>
          <w:rFonts w:hint="eastAsia" w:ascii="仿宋" w:hAnsi="仿宋" w:eastAsia="仿宋" w:cs="仿宋"/>
          <w:color w:val="000000"/>
          <w:sz w:val="24"/>
          <w:szCs w:val="24"/>
          <w:highlight w:val="none"/>
        </w:rPr>
        <w:t xml:space="preserve">  </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下列关于</w:t>
      </w:r>
      <w:r>
        <w:rPr>
          <w:rFonts w:hint="eastAsia" w:ascii="仿宋" w:hAnsi="仿宋" w:eastAsia="仿宋" w:cs="仿宋"/>
          <w:color w:val="000000"/>
          <w:sz w:val="24"/>
          <w:szCs w:val="24"/>
          <w:highlight w:val="none"/>
          <w:u w:val="single"/>
          <w:lang w:eastAsia="zh-CN"/>
        </w:rPr>
        <w:t xml:space="preserve">2026年全区农污处理设施建设运维监督管理技术服务</w:t>
      </w:r>
      <w:r>
        <w:rPr>
          <w:rFonts w:hint="eastAsia" w:ascii="仿宋" w:hAnsi="仿宋" w:eastAsia="仿宋" w:cs="仿宋"/>
          <w:color w:val="000000"/>
          <w:sz w:val="24"/>
          <w:szCs w:val="24"/>
          <w:highlight w:val="none"/>
        </w:rPr>
        <w:t xml:space="preserve">的公开招标文件、供应商投标文件，或与本次采购活动方式相适应的文件及有关附件是本合同不可分割的组成部分，与本合同具有同等法律效力，这些文件包括但不限于：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1、乙方提供的投标文件和投标文件价格部分；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2、技术条款偏离表；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3、投标承诺/服务承诺；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4、中标通知书；</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5、甲乙双方商定的其他文件等。</w:t>
      </w:r>
      <w:r/>
    </w:p>
    <w:p>
      <w:pPr>
        <w:ind w:firstLine="482"/>
        <w:spacing w:line="360" w:lineRule="auto"/>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第四条 双方权利和义务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1、乙方承诺，能够按照本合同及招投标文件约定为甲方提供劳务，遵守甲方的各项工作要求、操作规程，保守甲方商业秘密，勤勉尽责地完成工作任务。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2、根据所从事的工作，乙方应按照相关规定和甲方的要求为其提供劳务者配备必要的劳动保护用品、办公用品、车辆等，以满足日常工作需求和工作任务的顺利实现。</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3、乙方提供劳务时应遵守甲方的操作规程，达到甲方的各项要求和标准，并接受甲方的工作</w:t>
      </w:r>
      <w:r>
        <w:rPr>
          <w:rFonts w:hint="eastAsia" w:ascii="仿宋" w:hAnsi="仿宋" w:eastAsia="仿宋" w:cs="仿宋"/>
          <w:color w:val="000000"/>
          <w:sz w:val="24"/>
          <w:szCs w:val="24"/>
          <w:highlight w:val="none"/>
          <w:lang w:eastAsia="zh-CN"/>
        </w:rPr>
        <w:t xml:space="preserve">考核</w:t>
      </w:r>
      <w:r>
        <w:rPr>
          <w:rFonts w:hint="eastAsia" w:ascii="仿宋" w:hAnsi="仿宋" w:eastAsia="仿宋" w:cs="仿宋"/>
          <w:color w:val="000000"/>
          <w:sz w:val="24"/>
          <w:szCs w:val="24"/>
          <w:highlight w:val="none"/>
        </w:rPr>
        <w:t xml:space="preserve">。若因乙方违规违纪给甲方造成损失的，乙方应承担相应赔偿责任。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4、鉴于甲乙双方为劳务关系，本合同期内乙方的人员对甲方不享有劳动法律法规规定的社会保险及福利待遇，甲方也无需因此向乙方支付任何形式的补偿。</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5、鉴于甲乙双方为劳务关系，本合同期内乙方人员患病或其它任何原因导致伤亡的，一切费用均由乙方自行承担。</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6、在本合同期内，乙方在从事甲方安排的工作中致人损害的或者自行受损的，乙方应自行承担赔偿责任。由此给甲方造成损失的，乙方应据实赔偿。</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7、乙方应当保守工作期间知悉甲方的各种商业秘密、财务数据、公司机密等任何不宜对外公开的事项，否则造成甲方损失的，乙方应承担赔偿责任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8、乙方对其雇佣的人员，应当规定交纳职工社会保险（不符合交纳职工社会保险的，应当从安全的角度，为其购买商业保险）</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9、乙方应当将所有雇佣人员名单及签订的劳动合同（或其他证明双方身份关系的合同）交甲方备案。</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若因乙方工作人员被判定与甲方有劳动或劳务关系等，由甲方承担了相关的法律后果的，甲方可以后乙方进行追偿，并可以直接在应付款中扣除。乙方在处理过程中，不予配合的或不予认可的，还应当按甲方支付额的10%支付违约金。</w:t>
      </w:r>
      <w:r/>
    </w:p>
    <w:p>
      <w:pPr>
        <w:ind w:firstLine="482"/>
        <w:spacing w:line="360" w:lineRule="auto"/>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第五条 质量保证</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乙方所提供的服务的技术规格应与招标文件规定的技术规格及投标文件所附的“技术条款偏离表”相一致；若技术性能无特殊说明，则按国家有关部门最新颁布的标准及规范为准。</w:t>
      </w:r>
      <w:r/>
    </w:p>
    <w:p>
      <w:pPr>
        <w:ind w:firstLine="482"/>
        <w:spacing w:line="360" w:lineRule="auto"/>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第六条 交货和验收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1、乙方应当在合同签订后一年服务期内完成服务事项。</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2、乙方提供的服务应当完全符合本合同或者招投标文件所规定的服务和要求。乙方提供的服务不符合招投标文件和合同规定的，甲方有权拒绝验收，由此引起的风险，由乙方承担。</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3、服务验收标准：按行业通行标准和乙方投标文件的承诺（不低于国家相关标准）。</w:t>
      </w:r>
      <w:r/>
    </w:p>
    <w:p>
      <w:pPr>
        <w:ind w:firstLine="482"/>
        <w:spacing w:line="360" w:lineRule="auto"/>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第七条 伴随服务/售后服务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1、乙方应按照国家有关法律法规规章和“三包”规定以及招投标文件所规定的“服务承诺”提供服务。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2、除前款规定外，乙方还应提供下列服务。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（1）服务的启动监督；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（2）对甲方人员必要的免费培训。</w:t>
      </w:r>
      <w:r/>
    </w:p>
    <w:p>
      <w:pPr>
        <w:ind w:firstLine="482"/>
        <w:spacing w:line="360" w:lineRule="auto"/>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第八条 劳务关系</w:t>
      </w:r>
      <w:r/>
    </w:p>
    <w:p>
      <w:pPr>
        <w:ind w:left="0"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1、甲方安排乙方从事的工作任务包括：</w:t>
      </w:r>
      <w:r/>
    </w:p>
    <w:p>
      <w:p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日常农村污水处理系统的建设与运维情况管理工作包括：在合同期内对东山、江宁、谷里、秣陵、禄口街道的679个自然村的农村污水处理系统的排水源头溯源排查、农户生活污水接入、非生活污水接入、内部污水管网运维、终端处理设施运维等情况进行四轮全覆盖监督巡查，不定期对农污设施运维情况进行安全检查;运维管理情况以及巡查情况形成日常巡检记录，每季度形成巡查报告，年终形成工作总结报告。</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（2）进出水水质监测工作包括：根据《南京市农村生活污水处理设施建设与运营管理技术导则》要求，对标</w:t>
      </w:r>
      <w:r>
        <w:rPr>
          <w:rFonts w:hint="eastAsia" w:ascii="仿宋" w:hAnsi="仿宋" w:eastAsia="仿宋" w:cs="仿宋"/>
          <w:color w:val="000000"/>
          <w:sz w:val="24"/>
          <w:szCs w:val="24"/>
          <w:highlight w:val="none"/>
          <w:lang w:val="en-US" w:eastAsia="zh-CN"/>
        </w:rPr>
        <w:t xml:space="preserve">段服务范围内的农村污水处理设施的进出水开展抽检，并形成水质检测报告以及问题原因分析报告报送至区水务局（抽查范围与每月抽检数量由实际情况动态调整。服务期内共计抽检260座农村污水处理设施进出水水质，其中针对受小作坊影响的设施，每季度全覆盖进行一次进出水水质检测，全年共抽检约160套次；其余常规农污设备全年共抽检约80套次，两个标段设施具体抽检数与抽点点位由我局依据实际工作计划动态调整并提前布置；每季度交叉抽取另一标段一定数量的重点设施进行水质复测，或抽取上季度不合格设施总数的10%以上设施进行整改后复测。）。</w:t>
      </w:r>
      <w:r/>
    </w:p>
    <w:p>
      <w:pPr>
        <w:pStyle w:val="700"/>
        <w:rPr>
          <w:rFonts w:hint="eastAsia"/>
          <w:highlight w:val="none"/>
        </w:rPr>
      </w:pPr>
      <w:r>
        <w:rPr>
          <w:rFonts w:hint="eastAsia" w:ascii="仿宋" w:hAnsi="仿宋" w:eastAsia="仿宋" w:cs="仿宋"/>
          <w:color w:val="000000"/>
          <w:sz w:val="24"/>
          <w:szCs w:val="24"/>
          <w:highlight w:val="none"/>
          <w:lang w:val="en-US" w:eastAsia="zh-CN"/>
        </w:rPr>
        <w:t xml:space="preserve">（3）农村污水处理系统运维考核工作包括：根据《江宁区农村污水处理设施建设与运维考核办法》要求，综合日常运维情况管理和进出水水质监测工作结果，为区水务局每季度对农污系统运维单位的运维情况考核提供技术支撑，作为农村长效管护资金拨付依据。</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乙方应按照甲方安排的实施时间完成甲方指定的工作任务。</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2、乙方工作应达到甲方规定的要求和规定的标准。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根据乙方完成工作任务的进程和实际工程进度要求等因素，甲方有权调整乙方的工作任务，建议乙方撤换不称职人员。不论何种情况致乙方工作岗位发生变化的，甲方还可根据实际情况相应调整乙方的报酬，乙方对此予认可并服从。</w:t>
      </w:r>
      <w:r/>
    </w:p>
    <w:p>
      <w:pPr>
        <w:ind w:firstLine="482"/>
        <w:spacing w:line="360" w:lineRule="auto"/>
        <w:rPr>
          <w:rFonts w:hint="eastAsia" w:ascii="仿宋" w:hAnsi="仿宋" w:eastAsia="仿宋" w:cs="仿宋"/>
          <w:b/>
          <w:bCs/>
          <w:i/>
          <w:iCs/>
          <w:color w:val="000000"/>
          <w:sz w:val="24"/>
          <w:szCs w:val="24"/>
          <w:highlight w:val="none"/>
        </w:rPr>
        <w:outlineLvl w:val="1"/>
      </w:pPr>
      <w:r>
        <w:rPr>
          <w:rFonts w:hint="eastAsia" w:ascii="仿宋" w:hAnsi="仿宋" w:eastAsia="仿宋" w:cs="仿宋"/>
          <w:b/>
          <w:bCs/>
          <w:color w:val="000000"/>
          <w:sz w:val="24"/>
          <w:szCs w:val="24"/>
          <w:highlight w:val="none"/>
        </w:rPr>
        <w:t xml:space="preserve">第九条 合同款支付</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1、本合同项下所有款项均以人民币支付。</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2、本合同项下的采购资金由甲方自行支付，乙方向甲方开具发票。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3、付款条</w:t>
      </w:r>
      <w:r>
        <w:rPr>
          <w:rFonts w:hint="eastAsia" w:ascii="仿宋" w:hAnsi="仿宋" w:eastAsia="仿宋" w:cs="仿宋"/>
          <w:color w:val="000000"/>
          <w:sz w:val="24"/>
          <w:szCs w:val="24"/>
          <w:highlight w:val="none"/>
        </w:rPr>
        <w:t xml:space="preserve">件：按工作量，自合同签订之日起甲方每三个月对乙方三个月内的工作量进行考核，根据中标供应商分项报价表中各项的实际完成工作量支付已完成工作量的服务费。(注:本合同项下的采购资金由采购人自行支付，乙方向甲方开具发票。)(核分值 90分及以上为优秀，则可以获得当次申请支付外包服务价款的 100%;考核分值50分及以上，90分以下的为良好，每扣1分则扣除当次申请支付外包服务价款2.5%;考核分值在50分以下的为不合格，考核评分低于50分或被认定为不合格的季度，扣除当次申请支付外包服务价款的 100%。)</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4、前款所述价款中已包含所有费用。甲方无需再另行向乙方支付任何其他费用。</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 xml:space="preserve">5、甲方对乙方的管理与</w:t>
      </w:r>
      <w:r>
        <w:rPr>
          <w:rFonts w:hint="eastAsia" w:ascii="仿宋" w:hAnsi="仿宋" w:eastAsia="仿宋" w:cs="仿宋"/>
          <w:bCs/>
          <w:color w:val="000000"/>
          <w:sz w:val="24"/>
          <w:szCs w:val="24"/>
          <w:highlight w:val="none"/>
          <w:lang w:eastAsia="zh-CN"/>
        </w:rPr>
        <w:t xml:space="preserve">考核</w:t>
      </w:r>
      <w:r>
        <w:rPr>
          <w:rFonts w:hint="eastAsia" w:ascii="仿宋" w:hAnsi="仿宋" w:eastAsia="仿宋" w:cs="仿宋"/>
          <w:bCs/>
          <w:color w:val="000000"/>
          <w:sz w:val="24"/>
          <w:szCs w:val="24"/>
          <w:highlight w:val="none"/>
        </w:rPr>
        <w:t xml:space="preserve">办法遵循甲方制定的《南京市江宁区农村污水处理系统建设和运维管理技术服务考核细则》</w:t>
      </w:r>
      <w:r>
        <w:rPr>
          <w:rFonts w:hint="eastAsia" w:ascii="仿宋" w:hAnsi="仿宋" w:eastAsia="仿宋" w:cs="仿宋"/>
          <w:bCs/>
          <w:color w:val="000000"/>
          <w:sz w:val="24"/>
          <w:szCs w:val="24"/>
          <w:highlight w:val="none"/>
          <w:lang w:eastAsia="zh-CN"/>
        </w:rPr>
        <w:t xml:space="preserve">（详见招标文件）</w:t>
      </w:r>
      <w:r>
        <w:rPr>
          <w:rFonts w:hint="eastAsia" w:ascii="仿宋" w:hAnsi="仿宋" w:eastAsia="仿宋" w:cs="仿宋"/>
          <w:bCs/>
          <w:color w:val="000000"/>
          <w:sz w:val="24"/>
          <w:szCs w:val="24"/>
          <w:highlight w:val="none"/>
        </w:rPr>
        <w:t xml:space="preserve">。</w:t>
      </w:r>
      <w:r/>
    </w:p>
    <w:p>
      <w:pPr>
        <w:ind w:firstLine="420"/>
        <w:spacing w:line="360" w:lineRule="auto"/>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第十条 违约责任</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1、甲方无正当理由拒收服务、拒付服务款的，由甲方向乙方偿付合同总价的5%违约金。</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2、甲方未按合同规定的期限向乙方支付服务款的，每逾期1天甲方向乙方偿付欠款总额的5‰滞纳金，但累计滞纳金总额不超过欠款总额的5% 。</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3、如乙方不能交付服务的，乙方应向甲方支付合同总价5%的违约金。</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4、乙方逾期交付的，每逾期1天，乙方向甲方偿付合同总额的5‰的滞纳金。如乙方逾期交付达10天，甲方有权解除合同，解除合同的通知自到达乙方时生效。</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7、乙方未按本合同的规定和“服务承诺”提供伴随服务/售后服务的，应按合同总价款的5%向甲方承担违约责任。</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8、乙方在建设</w:t>
      </w:r>
      <w:r>
        <w:rPr>
          <w:rFonts w:hint="eastAsia" w:ascii="仿宋" w:hAnsi="仿宋" w:eastAsia="仿宋" w:cs="仿宋"/>
          <w:color w:val="000000"/>
          <w:sz w:val="24"/>
          <w:szCs w:val="24"/>
          <w:highlight w:val="none"/>
          <w:lang w:eastAsia="zh-CN"/>
        </w:rPr>
        <w:t xml:space="preserve">及运维</w:t>
      </w:r>
      <w:r>
        <w:rPr>
          <w:rFonts w:hint="eastAsia" w:ascii="仿宋" w:hAnsi="仿宋" w:eastAsia="仿宋" w:cs="仿宋"/>
          <w:color w:val="000000"/>
          <w:sz w:val="24"/>
          <w:szCs w:val="24"/>
          <w:highlight w:val="none"/>
        </w:rPr>
        <w:t xml:space="preserve">情况监督和质量安全监督过程中不认真履行职责，发现问题不及时指出并督促整改的，经区水务局抽查发现或举报查实的，扣除10000元/村，造成严重不良影响的，可追加扣除20000-50000元/次。</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9、乙方在有上述一项或多项违约责任的，除承担违约责任的仍应继续履行合同规定的义务（甲方解除合同的除外）。甲方未能及时追究乙方的任何一项违约责任并不表明甲方放弃追究乙方该项或其他违约责任。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10、乙方投标属虚假承诺，或经权威部门监测提供的服务不能满足招标文件要求，或是由于乙方的过错造成合同无法继续履行的，乙方应向甲方支付不少于合同总价30%赔偿金。</w:t>
      </w:r>
      <w:r/>
    </w:p>
    <w:p>
      <w:pPr>
        <w:ind w:firstLine="482"/>
        <w:spacing w:line="360" w:lineRule="auto"/>
        <w:widowControl/>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第十一条 项目履约验收</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1、甲方有权对乙方项目实施执行过程及完成结果进行履约验收；</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2、甲方可以邀请参加本项目的其他供应商或者第三方机构参与验收，乙方应积极配合并响应；</w:t>
      </w:r>
      <w:r/>
    </w:p>
    <w:p>
      <w:pPr>
        <w:ind w:firstLine="48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3、参与验收的供应商或者第三方机构的意见作为验收书的参考资料一并存档。</w:t>
      </w:r>
      <w:r/>
    </w:p>
    <w:p>
      <w:pPr>
        <w:ind w:firstLine="482"/>
        <w:spacing w:line="360" w:lineRule="auto"/>
        <w:widowControl/>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第十二条 合同的终止和解除</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1、本合同期满如双方未续签，则本合同自行终止。</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2、甲方有权视业务需要及乙方工作表现等行使单方解除本合同的权利，但应提前3天给予乙方解除合同的书面通知。除应当支付的劳务报酬外，甲方不向乙方支付任何补偿。</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3、符合下列情况的，乙方可解除本合同：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（1）甲方不能按照本合同约定支付劳务报酬。</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4、乙方解除本合同应提前3日通知甲方。如乙方非因前款所述原因擅自提前解除本协议，如由此给甲方造成其他损失的，乙方应据实赔偿。</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5、本合同终止或解除后7日内，乙方应将有关工作向甲方移交完毕。甲方在乙方办理完工作移交手续后3日内结算应付乙方的劳务报酬。如乙方未按本协议约定进行工作交接，应赔偿由此给甲方造成的全部损失。</w:t>
      </w:r>
      <w:r/>
    </w:p>
    <w:p>
      <w:pPr>
        <w:ind w:firstLine="482"/>
        <w:spacing w:line="360" w:lineRule="auto"/>
        <w:widowControl/>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第十三条 合同的转让</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乙方不得擅自部分或全部转让其应履行的合同义务。</w:t>
      </w:r>
      <w:r/>
    </w:p>
    <w:p>
      <w:pPr>
        <w:ind w:firstLine="482"/>
        <w:spacing w:line="360" w:lineRule="auto"/>
        <w:widowControl/>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第十四条 争议的解决</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2、因履行本合同引起的或与本合同有关的争议，甲、乙双方应首先通过友好协商解决，如果协商不能解决争议，则采取以下第（ 1 ）种方式解决争议：</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（1）向甲方所在地有管辖权的人民法院提起诉讼；</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（2）向南京仲裁委员会按其仲裁规则申请仲裁。</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如没有约定，默认采取第2种方式解决争议。</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2、在仲裁期间，本合同应继续履行。</w:t>
      </w:r>
      <w:r/>
    </w:p>
    <w:p>
      <w:pPr>
        <w:ind w:firstLine="482"/>
        <w:spacing w:line="360" w:lineRule="auto"/>
        <w:widowControl/>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第十五条 诚实信用 </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乙方应诚实信用，严格按照招标文件要求和投标承诺履行合同，不向甲方进行商业贿赂或者提供不正当利益。</w:t>
      </w:r>
      <w:r/>
    </w:p>
    <w:p>
      <w:pPr>
        <w:ind w:firstLine="482"/>
        <w:spacing w:line="360" w:lineRule="auto"/>
        <w:widowControl/>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第十六条 合同生效及其他</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1、本合同自签订之日起生效。</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2、本合同一式陆份，甲乙双方各执贰份，壹份交采购代理机构存档，壹份报送政府采购监督管理部门备案。</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3、本合同应按照中华人民共和国的现行法律进行解释。</w:t>
      </w:r>
      <w:r/>
    </w:p>
    <w:p>
      <w:pPr>
        <w:ind w:firstLine="482"/>
        <w:spacing w:line="360" w:lineRule="auto"/>
        <w:widowControl/>
        <w:rPr>
          <w:rFonts w:hint="eastAsia"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第十七条  合同附加协议条款</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1、所有对施工方、建设方发出的指令和文件均需征求委托人意见。</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2、服务工程中，应完成委托人发出的各项工作指令。</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3、服务单位应配备投标书中承诺的专业人员，履约期间如确需人员调动，须得到委托人的认可。</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4、投标文件中所列的用于本工程的检测设备、仪器，应根据需要及时到位。</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项目负责人每周在工地上上班时间不少于6个工作日，每天不少于8个小时，且原则上不允许更换，确需更换的，必须提前一周向委托人书面提出申请并获得批准，同时更换的负责人在资质、业绩等方面的条件不得低于原负责人；服务单位所有人员不得随意更换，因特殊情况确需更换的，必须提前一周向委托人书面提出申请并获得批准方可进行更换，否则则按10000元/人. 次扣除服务费用。</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6、服务单位人员必须廉洁守法，不得向施工方或材料供应商索贿、受贿，不得擅自参加施工的 宴请或收受礼品、礼金，在工程建设中不得向施工方指定某厂家、某品牌的建筑材料。对违反上述行为的人员委托人有权要求撤换。</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Style w:val="699"/>
        <w:tblW w:w="8692" w:type="dxa"/>
        <w:tblInd w:w="486" w:type="dxa"/>
        <w:tblLayout w:type="fixed"/>
        <w:tblCellMar>
          <w:left w:w="0" w:type="dxa"/>
          <w:top w:w="0" w:type="dxa"/>
          <w:right w:w="0" w:type="dxa"/>
          <w:bottom w:w="0" w:type="dxa"/>
        </w:tblCellMar>
        <w:tblLook w:val="04A0" w:firstRow="1" w:lastRow="0" w:firstColumn="1" w:lastColumn="0" w:noHBand="0" w:noVBand="1"/>
      </w:tblPr>
      <w:tblGrid>
        <w:gridCol w:w="4759"/>
        <w:gridCol w:w="3933"/>
      </w:tblGrid>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甲方（采购人）：</w:t>
            </w:r>
            <w:r>
              <w:rPr>
                <w:rFonts w:hint="eastAsia" w:ascii="仿宋" w:hAnsi="仿宋" w:eastAsia="仿宋" w:cs="仿宋"/>
                <w:color w:val="000000"/>
                <w:sz w:val="24"/>
                <w:szCs w:val="24"/>
                <w:highlight w:val="none"/>
                <w:lang w:eastAsia="zh-CN"/>
              </w:rPr>
              <w:t xml:space="preserve">南京市江宁区水务局</w:t>
            </w:r>
            <w:r>
              <w:rPr>
                <w:rFonts w:hint="eastAsia" w:ascii="仿宋" w:hAnsi="仿宋" w:eastAsia="仿宋" w:cs="仿宋"/>
                <w:color w:val="000000"/>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lang w:val="en-US" w:eastAsia="zh-CN"/>
              </w:rPr>
              <w:t xml:space="preserve">025-52281518</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通讯地址：南京市江宁区天元中路189号</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759"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帐    号：</w:t>
            </w:r>
            <w:r/>
          </w:p>
        </w:tc>
        <w:tc>
          <w:tcPr>
            <w:tcBorders>
              <w:top w:val="none" w:color="000000" w:sz="4" w:space="0"/>
              <w:left w:val="none" w:color="000000" w:sz="4" w:space="0"/>
              <w:bottom w:val="none" w:color="000000" w:sz="4" w:space="0"/>
              <w:right w:val="none" w:color="000000" w:sz="4" w:space="0"/>
            </w:tcBorders>
            <w:tcW w:w="3933" w:type="dxa"/>
            <w:vAlign w:val="top"/>
            <w:textDirection w:val="lrTb"/>
            <w:noWrap w:val="false"/>
          </w:tcPr>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帐    号：</w:t>
            </w:r>
            <w:r/>
          </w:p>
        </w:tc>
      </w:tr>
    </w:tbl>
    <w:p>
      <w:pPr>
        <w:pStyle w:val="871"/>
        <w:jc w:val="center"/>
        <w:spacing w:line="360" w:lineRule="auto"/>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第六章</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lang w:val="zh-CN"/>
        </w:rPr>
        <w:t xml:space="preserve">投标文件格式及附件</w:t>
      </w:r>
      <w:bookmarkEnd w:id="49"/>
      <w:r/>
      <w:bookmarkEnd w:id="50"/>
      <w:r/>
      <w:bookmarkEnd w:id="51"/>
      <w:r/>
      <w:r/>
    </w:p>
    <w:p>
      <w:pP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附件一、投标申请及声明格式</w:t>
      </w:r>
      <w:r/>
    </w:p>
    <w:p>
      <w:pPr>
        <w:jc w:val="center"/>
        <w:spacing w:line="360" w:lineRule="auto"/>
        <w:rPr>
          <w:rFonts w:hint="eastAsia" w:ascii="宋体" w:hAnsi="宋体" w:cs="宋体"/>
          <w:color w:val="000000"/>
          <w:sz w:val="36"/>
          <w:szCs w:val="36"/>
          <w:highlight w:val="none"/>
          <w:lang w:val="zh-CN"/>
        </w:rPr>
        <w:outlineLvl w:val="0"/>
      </w:pPr>
      <w:r/>
      <w:bookmarkStart w:id="106" w:name="_Toc32604"/>
      <w:r/>
      <w:bookmarkStart w:id="107" w:name="_Toc4379"/>
      <w:r>
        <w:rPr>
          <w:rFonts w:hint="eastAsia" w:ascii="宋体" w:hAnsi="宋体" w:cs="宋体"/>
          <w:color w:val="000000"/>
          <w:sz w:val="36"/>
          <w:szCs w:val="36"/>
          <w:highlight w:val="none"/>
          <w:lang w:val="zh-CN"/>
        </w:rPr>
        <w:t xml:space="preserve">投标申请及声明</w:t>
      </w:r>
      <w:bookmarkEnd w:id="106"/>
      <w:r/>
      <w:bookmarkEnd w:id="107"/>
      <w:r/>
      <w:r/>
    </w:p>
    <w:p>
      <w:pPr>
        <w:pStyle w:val="892"/>
        <w:spacing w:line="440" w:lineRule="exact"/>
        <w:rPr>
          <w:rFonts w:hint="eastAsia"/>
          <w:color w:val="000000"/>
          <w:highlight w:val="none"/>
          <w:lang w:val="zh-CN"/>
        </w:rPr>
      </w:pPr>
      <w:r/>
      <w:bookmarkStart w:id="108" w:name="_Toc18647"/>
      <w:r/>
      <w:bookmarkStart w:id="109" w:name="_Toc27899"/>
      <w:r>
        <w:rPr>
          <w:rFonts w:hint="eastAsia"/>
          <w:color w:val="000000"/>
          <w:highlight w:val="none"/>
          <w:lang w:val="zh-CN"/>
        </w:rPr>
        <w:t xml:space="preserve">致</w:t>
      </w:r>
      <w:r>
        <w:rPr>
          <w:rFonts w:hint="eastAsia"/>
          <w:color w:val="000000"/>
          <w:highlight w:val="none"/>
          <w:u w:val="single"/>
        </w:rPr>
        <w:t xml:space="preserve">        （</w:t>
      </w:r>
      <w:r>
        <w:rPr>
          <w:rFonts w:hint="eastAsia"/>
          <w:color w:val="000000"/>
          <w:highlight w:val="none"/>
          <w:u w:val="single"/>
          <w:lang w:val="zh-CN"/>
        </w:rPr>
        <w:t xml:space="preserve">采购人名称）</w:t>
      </w:r>
      <w:r>
        <w:rPr>
          <w:rFonts w:hint="eastAsia"/>
          <w:color w:val="000000"/>
          <w:highlight w:val="none"/>
          <w:lang w:val="zh-CN"/>
        </w:rPr>
        <w:t xml:space="preserve">：</w:t>
      </w:r>
      <w:bookmarkEnd w:id="108"/>
      <w:r/>
      <w:bookmarkEnd w:id="109"/>
      <w:r>
        <w:rPr>
          <w:rFonts w:hint="eastAsia"/>
          <w:color w:val="000000"/>
          <w:highlight w:val="none"/>
          <w:lang w:val="zh-CN"/>
        </w:rPr>
        <w:t xml:space="preserve"> </w:t>
      </w:r>
      <w:r/>
    </w:p>
    <w:p>
      <w:pPr>
        <w:pStyle w:val="892"/>
        <w:spacing w:line="440" w:lineRule="exact"/>
        <w:rPr>
          <w:rFonts w:hint="eastAsia"/>
          <w:color w:val="000000"/>
          <w:highlight w:val="none"/>
          <w:lang w:val="zh-CN"/>
        </w:rPr>
      </w:pPr>
      <w:r>
        <w:rPr>
          <w:rFonts w:hint="eastAsia"/>
          <w:color w:val="000000"/>
          <w:highlight w:val="none"/>
          <w:lang w:val="zh-CN"/>
        </w:rPr>
        <w:t xml:space="preserve">   </w:t>
      </w:r>
      <w:bookmarkStart w:id="110" w:name="_Toc4607"/>
      <w:r/>
      <w:bookmarkStart w:id="111" w:name="_Toc9373"/>
      <w:r>
        <w:rPr>
          <w:rFonts w:hint="eastAsia"/>
          <w:color w:val="000000"/>
          <w:highlight w:val="none"/>
          <w:lang w:val="zh-CN"/>
        </w:rPr>
        <w:t xml:space="preserve">根据贵方</w:t>
      </w:r>
      <w:r>
        <w:rPr>
          <w:rFonts w:hint="eastAsia"/>
          <w:color w:val="000000"/>
          <w:highlight w:val="none"/>
          <w:u w:val="single"/>
        </w:rPr>
        <w:t xml:space="preserve">   </w:t>
      </w:r>
      <w:r>
        <w:rPr>
          <w:rFonts w:hint="eastAsia"/>
          <w:color w:val="000000"/>
          <w:highlight w:val="none"/>
          <w:u w:val="single"/>
          <w:lang w:val="zh-CN"/>
        </w:rPr>
        <w:t xml:space="preserve">（项目名称）</w:t>
      </w:r>
      <w:r>
        <w:rPr>
          <w:rFonts w:hint="eastAsia"/>
          <w:color w:val="000000"/>
          <w:highlight w:val="none"/>
          <w:u w:val="single"/>
        </w:rPr>
        <w:t xml:space="preserve">      </w:t>
      </w:r>
      <w:r>
        <w:rPr>
          <w:rFonts w:hint="eastAsia"/>
          <w:color w:val="000000"/>
          <w:highlight w:val="none"/>
          <w:u w:val="single"/>
          <w:lang w:val="zh-CN"/>
        </w:rPr>
        <w:t xml:space="preserve">（项目编号）</w:t>
      </w:r>
      <w:r>
        <w:rPr>
          <w:rFonts w:hint="eastAsia"/>
          <w:color w:val="000000"/>
          <w:highlight w:val="none"/>
          <w:lang w:val="zh-CN"/>
        </w:rPr>
        <w:t xml:space="preserve">投标邀请，正式授权下述签字人</w:t>
      </w:r>
      <w:r>
        <w:rPr>
          <w:rFonts w:hint="eastAsia"/>
          <w:color w:val="000000"/>
          <w:highlight w:val="none"/>
          <w:u w:val="single"/>
        </w:rPr>
        <w:t xml:space="preserve">        </w:t>
      </w:r>
      <w:r>
        <w:rPr>
          <w:rFonts w:hint="eastAsia"/>
          <w:color w:val="000000"/>
          <w:highlight w:val="none"/>
          <w:lang w:val="zh-CN"/>
        </w:rPr>
        <w:t xml:space="preserve">(姓名和职务)代表供应商</w:t>
      </w:r>
      <w:r>
        <w:rPr>
          <w:rFonts w:hint="eastAsia"/>
          <w:color w:val="000000"/>
          <w:highlight w:val="none"/>
          <w:u w:val="single"/>
        </w:rPr>
        <w:t xml:space="preserve">                 </w:t>
      </w:r>
      <w:r>
        <w:rPr>
          <w:rFonts w:hint="eastAsia"/>
          <w:color w:val="000000"/>
          <w:highlight w:val="none"/>
          <w:lang w:val="zh-CN"/>
        </w:rPr>
        <w:t xml:space="preserve">（供应商名称），提交投标文件。</w:t>
      </w:r>
      <w:bookmarkEnd w:id="110"/>
      <w:r/>
      <w:bookmarkEnd w:id="111"/>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据此函，签字人兹宣布声明和承诺如下：</w:t>
      </w:r>
      <w:r/>
    </w:p>
    <w:p>
      <w:pPr>
        <w:ind w:firstLine="420"/>
        <w:spacing w:line="440" w:lineRule="exact"/>
        <w:rPr>
          <w:rFonts w:hint="eastAsia" w:ascii="宋体" w:hAnsi="宋体" w:cs="宋体"/>
          <w:color w:val="000000"/>
          <w:highlight w:val="none"/>
        </w:rPr>
      </w:pPr>
      <w:r>
        <w:rPr>
          <w:rFonts w:hint="eastAsia" w:ascii="宋体" w:hAnsi="宋体" w:cs="宋体"/>
          <w:color w:val="000000"/>
          <w:szCs w:val="21"/>
          <w:highlight w:val="none"/>
          <w:lang w:val="zh-CN"/>
        </w:rPr>
        <w:t xml:space="preserve">1、</w:t>
      </w:r>
      <w:r>
        <w:rPr>
          <w:rFonts w:hint="eastAsia" w:ascii="宋体" w:hAnsi="宋体" w:cs="宋体"/>
          <w:b/>
          <w:color w:val="000000"/>
          <w:szCs w:val="21"/>
          <w:highlight w:val="none"/>
          <w:lang w:val="zh-CN"/>
        </w:rPr>
        <w:t xml:space="preserve">我们的资格条件完全符合政府采购法和本次采购要求</w:t>
      </w:r>
      <w:r>
        <w:rPr>
          <w:rFonts w:hint="eastAsia" w:ascii="宋体" w:hAnsi="宋体" w:cs="宋体"/>
          <w:color w:val="000000"/>
          <w:szCs w:val="21"/>
          <w:highlight w:val="none"/>
          <w:lang w:val="zh-CN"/>
        </w:rPr>
        <w:t xml:space="preserve">，</w:t>
      </w:r>
      <w:r>
        <w:rPr>
          <w:rFonts w:hint="eastAsia" w:ascii="宋体" w:hAnsi="宋体" w:cs="宋体"/>
          <w:color w:val="000000"/>
          <w:highlight w:val="none"/>
        </w:rPr>
        <w:t xml:space="preserve">我们</w:t>
      </w:r>
      <w:r>
        <w:rPr>
          <w:rFonts w:hint="eastAsia" w:ascii="宋体" w:hAnsi="宋体" w:cs="宋体"/>
          <w:color w:val="000000"/>
          <w:szCs w:val="21"/>
          <w:highlight w:val="none"/>
          <w:lang w:val="zh-CN"/>
        </w:rPr>
        <w:t xml:space="preserve">同意并向贵方提供了与投标有关的所有证据和资料。</w:t>
      </w:r>
      <w:r/>
    </w:p>
    <w:p>
      <w:pPr>
        <w:ind w:firstLine="420"/>
        <w:spacing w:line="440" w:lineRule="exact"/>
        <w:rPr>
          <w:rFonts w:ascii="宋体" w:hAnsi="宋体" w:cs="宋体"/>
          <w:color w:val="000000"/>
          <w:szCs w:val="21"/>
          <w:highlight w:val="none"/>
          <w:lang w:val="zh-CN"/>
        </w:rPr>
      </w:pPr>
      <w:r>
        <w:rPr>
          <w:rFonts w:hint="eastAsia" w:ascii="宋体" w:hAnsi="宋体" w:cs="宋体"/>
          <w:color w:val="000000"/>
          <w:highlight w:val="none"/>
        </w:rPr>
        <w:t xml:space="preserve">2、</w:t>
      </w:r>
      <w:r>
        <w:rPr>
          <w:rFonts w:hint="eastAsia" w:ascii="宋体" w:hAnsi="宋体" w:cs="宋体"/>
          <w:color w:val="000000"/>
          <w:szCs w:val="21"/>
          <w:highlight w:val="none"/>
          <w:lang w:val="zh-CN"/>
        </w:rPr>
        <w:t xml:space="preserve">按采购要求，我们的投标总报价为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（大写）元人民币。其中，小型企业的产品为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（大写）元人民币。</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000000"/>
          <w:szCs w:val="21"/>
          <w:highlight w:val="none"/>
          <w:lang w:val="zh-CN"/>
        </w:rPr>
        <w:t xml:space="preserve">不对采购文件本身提出质疑</w:t>
      </w:r>
      <w:r>
        <w:rPr>
          <w:rFonts w:hint="eastAsia" w:ascii="宋体" w:hAnsi="宋体" w:cs="宋体"/>
          <w:color w:val="000000"/>
          <w:szCs w:val="21"/>
          <w:highlight w:val="none"/>
          <w:lang w:val="zh-CN"/>
        </w:rPr>
        <w:t xml:space="preserve">。否则，属于不诚信和故意扰乱政府采购活动行为，我们将无条件接受处罚。</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4、我们同意从规定的开标日期起遵循本投标文件，并在规定的投标有效期期满之前均具有约束力。</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5、一旦我方中标，我方将根据采购文件的规定严格履行合同，并保证于承诺的时间完成服务的启动/集成、调试等服务，交付采购人验收、使用。</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我方决不提供虚假材料谋取中标、决不采取不正当手段诋毁、排挤其他供应商、决不与采购人、其它供应商或者采购代理机构恶意串通、决不向采购人、采购代理工作人员和评委进行商业贿赂、决不在采购过程中与采购人进行协商谈判、决不拒绝有关部门监督检查或提供虚假情况，如有违反，无条件接受贵方及相关管理部门的处罚。</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7、与本投标有关的正式联系方式为：</w:t>
      </w:r>
      <w:r/>
    </w:p>
    <w:p>
      <w:pPr>
        <w:ind w:firstLine="420"/>
        <w:spacing w:line="440" w:lineRule="exact"/>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地址：</w:t>
      </w:r>
      <w:r/>
    </w:p>
    <w:p>
      <w:pPr>
        <w:ind w:firstLine="420"/>
        <w:spacing w:line="440" w:lineRule="exact"/>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电话：</w:t>
      </w:r>
      <w:r/>
    </w:p>
    <w:p>
      <w:pPr>
        <w:ind w:firstLine="420"/>
        <w:spacing w:line="440" w:lineRule="exact"/>
        <w:rPr>
          <w:rFonts w:hint="eastAsia"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传真：</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开户银行：</w:t>
      </w:r>
      <w:r/>
    </w:p>
    <w:p>
      <w:pPr>
        <w:ind w:firstLine="420"/>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银行账号：</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加盖电子公章</w:t>
      </w:r>
      <w:r>
        <w:rPr>
          <w:rFonts w:hint="eastAsia" w:ascii="宋体" w:hAnsi="宋体" w:cs="宋体"/>
          <w:color w:val="000000"/>
          <w:szCs w:val="21"/>
          <w:highlight w:val="none"/>
          <w:lang w:val="zh-CN"/>
        </w:rPr>
        <w:t xml:space="preserve">）</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p>
    <w:p>
      <w:pPr>
        <w:spacing w:line="420" w:lineRule="exact"/>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br w:type="page" w:clear="all"/>
      </w:r>
      <w:r>
        <w:rPr>
          <w:rFonts w:hint="eastAsia" w:ascii="宋体" w:hAnsi="宋体" w:cs="宋体"/>
          <w:b/>
          <w:color w:val="000000"/>
          <w:szCs w:val="21"/>
          <w:highlight w:val="none"/>
          <w:lang w:val="zh-CN"/>
        </w:rPr>
        <w:t xml:space="preserve">附件二、法定代表人授权书格式</w:t>
      </w:r>
      <w:r/>
    </w:p>
    <w:p>
      <w:pPr>
        <w:jc w:val="center"/>
        <w:spacing w:line="360" w:lineRule="auto"/>
        <w:widowControl/>
        <w:rPr>
          <w:rFonts w:ascii="宋体" w:hAnsi="宋体" w:cs="宋体"/>
          <w:color w:val="000000"/>
          <w:sz w:val="36"/>
          <w:szCs w:val="36"/>
          <w:highlight w:val="none"/>
          <w:lang w:val="zh-CN"/>
        </w:rPr>
      </w:pPr>
      <w:r>
        <w:rPr>
          <w:rFonts w:ascii="宋体" w:hAnsi="宋体" w:cs="宋体"/>
          <w:color w:val="000000"/>
          <w:sz w:val="36"/>
          <w:szCs w:val="36"/>
          <w:highlight w:val="none"/>
          <w:lang w:val="zh-CN"/>
        </w:rPr>
      </w:r>
      <w:r/>
    </w:p>
    <w:p>
      <w:pPr>
        <w:jc w:val="center"/>
        <w:spacing w:line="360" w:lineRule="auto"/>
        <w:widowControl/>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法定代表人授权委托书</w:t>
      </w:r>
      <w:r/>
    </w:p>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jc w:val="left"/>
        <w:spacing w:line="460" w:lineRule="exact"/>
        <w:widowControl/>
        <w:rPr>
          <w:rFonts w:ascii="宋体" w:hAnsi="宋体" w:cs="宋体"/>
          <w:color w:val="000000"/>
          <w:szCs w:val="21"/>
          <w:highlight w:val="none"/>
          <w:lang w:val="zh-CN"/>
        </w:rPr>
      </w:pPr>
      <w:r>
        <w:rPr>
          <w:rFonts w:hint="eastAsia"/>
          <w:color w:val="000000"/>
          <w:highlight w:val="none"/>
          <w:u w:val="single"/>
        </w:rPr>
        <w:t xml:space="preserve">              （</w:t>
      </w:r>
      <w:r>
        <w:rPr>
          <w:rFonts w:hint="eastAsia"/>
          <w:color w:val="000000"/>
          <w:highlight w:val="none"/>
          <w:u w:val="single"/>
          <w:lang w:val="zh-CN"/>
        </w:rPr>
        <w:t xml:space="preserve">采购人名称）</w:t>
      </w:r>
      <w:r>
        <w:rPr>
          <w:rFonts w:hint="eastAsia" w:ascii="宋体" w:hAnsi="宋体" w:cs="宋体"/>
          <w:color w:val="000000"/>
          <w:szCs w:val="21"/>
          <w:highlight w:val="none"/>
          <w:lang w:val="zh-CN"/>
        </w:rPr>
        <w:t xml:space="preserve">：</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本授权书声明：注册于</w:t>
      </w:r>
      <w:r>
        <w:rPr>
          <w:rFonts w:hint="eastAsia" w:ascii="宋体" w:hAnsi="宋体" w:cs="宋体"/>
          <w:color w:val="000000"/>
          <w:szCs w:val="21"/>
          <w:highlight w:val="none"/>
          <w:u w:val="single"/>
          <w:lang w:val="zh-CN"/>
        </w:rPr>
        <w:t xml:space="preserve">                         （供应商住址）</w:t>
      </w:r>
      <w:r>
        <w:rPr>
          <w:rFonts w:hint="eastAsia" w:ascii="宋体" w:hAnsi="宋体" w:cs="宋体"/>
          <w:color w:val="000000"/>
          <w:szCs w:val="21"/>
          <w:highlight w:val="none"/>
          <w:lang w:val="zh-CN"/>
        </w:rPr>
        <w:t xml:space="preserve">的 </w:t>
      </w:r>
      <w:r>
        <w:rPr>
          <w:rFonts w:hint="eastAsia" w:ascii="宋体" w:hAnsi="宋体" w:cs="宋体"/>
          <w:color w:val="000000"/>
          <w:szCs w:val="21"/>
          <w:highlight w:val="none"/>
          <w:u w:val="single"/>
          <w:lang w:val="zh-CN"/>
        </w:rPr>
        <w:t xml:space="preserve">  （供应商名称）</w:t>
      </w:r>
      <w:r>
        <w:rPr>
          <w:rFonts w:hint="eastAsia" w:ascii="宋体" w:hAnsi="宋体" w:cs="宋体"/>
          <w:color w:val="000000"/>
          <w:szCs w:val="21"/>
          <w:highlight w:val="none"/>
          <w:lang w:val="zh-CN"/>
        </w:rPr>
        <w:t xml:space="preserve">法定代表人 </w:t>
      </w:r>
      <w:r>
        <w:rPr>
          <w:rFonts w:hint="eastAsia" w:ascii="宋体" w:hAnsi="宋体" w:cs="宋体"/>
          <w:color w:val="000000"/>
          <w:szCs w:val="21"/>
          <w:highlight w:val="none"/>
          <w:u w:val="single"/>
          <w:lang w:val="zh-CN"/>
        </w:rPr>
        <w:t xml:space="preserve">                     （法定代表人姓名、职务）</w:t>
      </w:r>
      <w:r>
        <w:rPr>
          <w:rFonts w:hint="eastAsia" w:ascii="宋体" w:hAnsi="宋体" w:cs="宋体"/>
          <w:color w:val="000000"/>
          <w:szCs w:val="21"/>
          <w:highlight w:val="none"/>
          <w:lang w:val="zh-CN"/>
        </w:rPr>
        <w:t xml:space="preserve">代表本公司授权在下面签字的 </w:t>
      </w:r>
      <w:r>
        <w:rPr>
          <w:rFonts w:hint="eastAsia" w:ascii="宋体" w:hAnsi="宋体" w:cs="宋体"/>
          <w:color w:val="000000"/>
          <w:szCs w:val="21"/>
          <w:highlight w:val="none"/>
          <w:u w:val="single"/>
          <w:lang w:val="zh-CN"/>
        </w:rPr>
        <w:t xml:space="preserve">           （供应商代表姓名、职务）</w:t>
      </w:r>
      <w:r>
        <w:rPr>
          <w:rFonts w:hint="eastAsia" w:ascii="宋体" w:hAnsi="宋体" w:cs="宋体"/>
          <w:color w:val="000000"/>
          <w:szCs w:val="21"/>
          <w:highlight w:val="none"/>
          <w:lang w:val="zh-CN"/>
        </w:rPr>
        <w:t xml:space="preserve">为本公司的合法代理人，就贵方组织的</w:t>
      </w:r>
      <w:r>
        <w:rPr>
          <w:rFonts w:hint="eastAsia" w:ascii="宋体" w:hAnsi="宋体" w:cs="宋体"/>
          <w:color w:val="000000"/>
          <w:szCs w:val="21"/>
          <w:highlight w:val="none"/>
          <w:u w:val="single"/>
          <w:lang w:val="zh-CN"/>
        </w:rPr>
        <w:t xml:space="preserve">                            （项目名称）     （项目编号）</w:t>
      </w:r>
      <w:r>
        <w:rPr>
          <w:rFonts w:hint="eastAsia" w:ascii="宋体" w:hAnsi="宋体" w:cs="宋体"/>
          <w:color w:val="000000"/>
          <w:szCs w:val="21"/>
          <w:highlight w:val="none"/>
          <w:lang w:val="zh-CN"/>
        </w:rPr>
        <w:t xml:space="preserve">投标，以本公司名义处理一切与之有关的事务。</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本授权书于    年  月  日签字生效，特此声明。</w:t>
      </w:r>
      <w:r/>
    </w:p>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法定代表人签字或盖章：</w:t>
      </w:r>
      <w:r/>
    </w:p>
    <w:p>
      <w:pPr>
        <w:ind w:firstLine="420"/>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加盖电子公章</w:t>
      </w:r>
      <w:r>
        <w:rPr>
          <w:rFonts w:hint="eastAsia" w:ascii="宋体" w:hAnsi="宋体" w:cs="宋体"/>
          <w:color w:val="000000"/>
          <w:szCs w:val="21"/>
          <w:highlight w:val="none"/>
          <w:lang w:val="zh-CN"/>
        </w:rPr>
        <w:t xml:space="preserve">）</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p>
    <w:p>
      <w:pPr>
        <w:jc w:val="left"/>
        <w:spacing w:line="460" w:lineRule="exact"/>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jc w:val="left"/>
        <w:spacing w:line="360" w:lineRule="auto"/>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br w:type="page" w:clear="all"/>
      </w:r>
      <w:r>
        <w:rPr>
          <w:rFonts w:hint="eastAsia" w:ascii="宋体" w:hAnsi="宋体" w:cs="宋体"/>
          <w:b/>
          <w:color w:val="000000"/>
          <w:szCs w:val="21"/>
          <w:highlight w:val="none"/>
          <w:lang w:val="zh-CN"/>
        </w:rPr>
        <w:t xml:space="preserve">附件三、开标一览表格式</w:t>
      </w:r>
      <w:r/>
    </w:p>
    <w:p>
      <w:pPr>
        <w:jc w:val="center"/>
        <w:spacing w:line="360" w:lineRule="auto"/>
        <w:widowControl/>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开标一览表</w:t>
      </w:r>
      <w:r/>
    </w:p>
    <w:tbl>
      <w:tblPr>
        <w:tblStyle w:val="699"/>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2680"/>
        <w:gridCol w:w="93"/>
        <w:gridCol w:w="1608"/>
        <w:gridCol w:w="1739"/>
      </w:tblGrid>
      <w:tr>
        <w:trPr>
          <w:trHeight w:val="284"/>
        </w:trPr>
        <w:tc>
          <w:tcPr>
            <w:gridSpan w:val="4"/>
            <w:tcW w:w="6038" w:type="dxa"/>
            <w:vAlign w:val="center"/>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 </w:t>
            </w:r>
            <w:r/>
          </w:p>
        </w:tc>
        <w:tc>
          <w:tcPr>
            <w:gridSpan w:val="2"/>
            <w:tcW w:w="3347" w:type="dxa"/>
            <w:vAlign w:val="center"/>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r>
      <w:tr>
        <w:trPr>
          <w:trHeight w:val="284"/>
        </w:trPr>
        <w:tc>
          <w:tcPr>
            <w:tcW w:w="734" w:type="dxa"/>
            <w:vAlign w:val="center"/>
            <w:textDirection w:val="lrTb"/>
            <w:noWrap w:val="false"/>
          </w:tcPr>
          <w:p>
            <w:pPr>
              <w:jc w:val="cente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gridSpan w:val="2"/>
            <w:tcW w:w="5211" w:type="dxa"/>
            <w:vAlign w:val="center"/>
            <w:textDirection w:val="lrTb"/>
            <w:noWrap w:val="false"/>
          </w:tcPr>
          <w:p>
            <w:pPr>
              <w:jc w:val="cente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名               称</w:t>
            </w:r>
            <w:r/>
          </w:p>
        </w:tc>
        <w:tc>
          <w:tcPr>
            <w:gridSpan w:val="2"/>
            <w:tcW w:w="1701" w:type="dxa"/>
            <w:vAlign w:val="center"/>
            <w:textDirection w:val="lrTb"/>
            <w:noWrap w:val="false"/>
          </w:tcPr>
          <w:p>
            <w:pPr>
              <w:jc w:val="cente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报价（元）</w:t>
            </w:r>
            <w:r/>
          </w:p>
        </w:tc>
        <w:tc>
          <w:tcPr>
            <w:tcW w:w="1739" w:type="dxa"/>
            <w:vAlign w:val="center"/>
            <w:textDirection w:val="lrTb"/>
            <w:noWrap w:val="false"/>
          </w:tcPr>
          <w:p>
            <w:pPr>
              <w:jc w:val="cente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284"/>
        </w:trPr>
        <w:tc>
          <w:tcPr>
            <w:tcW w:w="734" w:type="dxa"/>
            <w:vAlign w:val="center"/>
            <w:textDirection w:val="lrTb"/>
            <w:noWrap w:val="false"/>
          </w:tcPr>
          <w:p>
            <w:pPr>
              <w:jc w:val="center"/>
              <w:spacing w:line="460" w:lineRule="exact"/>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5211" w:type="dxa"/>
            <w:vAlign w:val="center"/>
            <w:textDirection w:val="lrTb"/>
            <w:noWrap w:val="false"/>
          </w:tcPr>
          <w:p>
            <w:pPr>
              <w:jc w:val="center"/>
              <w:spacing w:line="460" w:lineRule="exact"/>
              <w:rPr>
                <w:rFonts w:hint="eastAsia" w:ascii="宋体" w:hAnsi="宋体" w:eastAsia="宋体" w:cs="宋体"/>
                <w:b/>
                <w:color w:val="000000"/>
                <w:szCs w:val="21"/>
                <w:highlight w:val="none"/>
                <w:lang w:val="zh-CN" w:eastAsia="zh-CN"/>
              </w:rPr>
            </w:pPr>
            <w:r>
              <w:rPr>
                <w:rFonts w:hint="eastAsia" w:ascii="宋体" w:hAnsi="宋体" w:cs="宋体"/>
                <w:color w:val="000000"/>
                <w:szCs w:val="21"/>
                <w:highlight w:val="none"/>
                <w:lang w:eastAsia="zh-CN"/>
              </w:rPr>
              <w:t xml:space="preserve">2026年全区农污处理设施建设运维监督管理技术服务</w:t>
            </w:r>
            <w:r/>
          </w:p>
        </w:tc>
        <w:tc>
          <w:tcPr>
            <w:gridSpan w:val="2"/>
            <w:tcW w:w="1701" w:type="dxa"/>
            <w:vAlign w:val="center"/>
            <w:textDirection w:val="lrTb"/>
            <w:noWrap w:val="false"/>
          </w:tcPr>
          <w:p>
            <w:pPr>
              <w:jc w:val="cente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39" w:type="dxa"/>
            <w:vAlign w:val="center"/>
            <w:textDirection w:val="lrTb"/>
            <w:noWrap w:val="false"/>
          </w:tcPr>
          <w:p>
            <w:pPr>
              <w:jc w:val="cente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投标总价（人民币，大写）</w:t>
            </w:r>
            <w:r/>
          </w:p>
        </w:tc>
        <w:tc>
          <w:tcPr>
            <w:gridSpan w:val="4"/>
            <w:tcW w:w="6120" w:type="dxa"/>
            <w:vAlign w:val="center"/>
            <w:textDirection w:val="lrTb"/>
            <w:noWrap w:val="false"/>
          </w:tcPr>
          <w:p>
            <w:pPr>
              <w:ind w:firstLine="399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供应商是否属于小微型企业</w:t>
            </w:r>
            <w:r/>
          </w:p>
        </w:tc>
        <w:tc>
          <w:tcPr>
            <w:gridSpan w:val="4"/>
            <w:tcW w:w="6120" w:type="dxa"/>
            <w:vAlign w:val="center"/>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仿宋" w:hAnsi="仿宋" w:eastAsia="仿宋" w:cs="仿宋"/>
                <w:color w:val="000000"/>
                <w:sz w:val="24"/>
                <w:szCs w:val="24"/>
                <w:highlight w:val="none"/>
                <w:lang w:bidi="ar"/>
              </w:rPr>
              <w:t xml:space="preserve">□</w:t>
            </w:r>
            <w:r>
              <w:rPr>
                <w:rFonts w:hint="eastAsia" w:ascii="宋体" w:hAnsi="宋体" w:cs="宋体"/>
                <w:color w:val="000000"/>
                <w:szCs w:val="21"/>
                <w:highlight w:val="none"/>
                <w:lang w:val="zh-CN"/>
              </w:rPr>
              <w:t xml:space="preserve">       否</w:t>
            </w:r>
            <w:r>
              <w:rPr>
                <w:rFonts w:hint="eastAsia" w:ascii="仿宋" w:hAnsi="仿宋" w:eastAsia="仿宋" w:cs="仿宋"/>
                <w:color w:val="000000"/>
                <w:sz w:val="24"/>
                <w:szCs w:val="24"/>
                <w:highlight w:val="none"/>
                <w:lang w:bidi="ar"/>
              </w:rPr>
              <w:t xml:space="preserve">□</w:t>
            </w:r>
            <w:r/>
          </w:p>
        </w:tc>
      </w:tr>
    </w:tbl>
    <w:p>
      <w:pP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加盖电子公章</w:t>
      </w:r>
      <w:r>
        <w:rPr>
          <w:rFonts w:hint="eastAsia" w:ascii="宋体" w:hAnsi="宋体" w:cs="宋体"/>
          <w:color w:val="000000"/>
          <w:szCs w:val="21"/>
          <w:highlight w:val="none"/>
          <w:lang w:val="zh-CN"/>
        </w:rPr>
        <w:t xml:space="preserve">）</w:t>
      </w:r>
      <w:r/>
    </w:p>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p>
    <w:p>
      <w:pPr>
        <w:ind w:firstLine="420"/>
        <w:jc w:val="left"/>
        <w:spacing w:line="460" w:lineRule="exact"/>
        <w:widowControl/>
        <w:rPr>
          <w:rFonts w:hint="eastAsia" w:ascii="宋体" w:hAnsi="宋体" w:cs="宋体"/>
          <w:color w:val="000000"/>
          <w:szCs w:val="21"/>
          <w:highlight w:val="none"/>
          <w:lang w:val="zh-CN"/>
        </w:rPr>
        <w:sectPr>
          <w:footerReference w:type="default" r:id="rId11"/>
          <w:footnotePr/>
          <w:endnotePr/>
          <w:type w:val="nextPage"/>
          <w:pgSz w:w="11906" w:h="16838" w:orient="portrait"/>
          <w:pgMar w:top="1417" w:right="1134" w:bottom="1247" w:left="1304" w:header="851" w:footer="992" w:gutter="0"/>
          <w:cols w:num="1" w:sep="0" w:space="1701" w:equalWidth="1"/>
          <w:docGrid w:linePitch="360"/>
        </w:sect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、在“供应商是否属于小和微型企业”栏后“是”或“否”上打“√”。</w:t>
      </w:r>
      <w:r/>
    </w:p>
    <w:p>
      <w:pPr>
        <w:jc w:val="left"/>
        <w:spacing w:line="360" w:lineRule="auto"/>
        <w:widowControl/>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附件</w:t>
      </w:r>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lang w:val="zh-CN"/>
        </w:rPr>
        <w:t xml:space="preserve">、技术条款偏离表格式</w:t>
      </w:r>
      <w:r/>
    </w:p>
    <w:p>
      <w:pPr>
        <w:ind w:left="420"/>
        <w:jc w:val="center"/>
        <w:spacing w:line="360" w:lineRule="auto"/>
        <w:widowControl/>
        <w:rPr>
          <w:rFonts w:hint="eastAsia" w:ascii="宋体" w:hAnsi="宋体" w:cs="宋体"/>
          <w:color w:val="000000"/>
          <w:sz w:val="36"/>
          <w:szCs w:val="36"/>
          <w:highlight w:val="none"/>
          <w:lang w:val="zh-CN"/>
        </w:rPr>
        <w:outlineLvl w:val="0"/>
      </w:pPr>
      <w:r/>
      <w:bookmarkStart w:id="112" w:name="_Toc32603"/>
      <w:r/>
      <w:bookmarkStart w:id="113" w:name="_Toc14329"/>
      <w:r>
        <w:rPr>
          <w:rFonts w:hint="eastAsia" w:ascii="宋体" w:hAnsi="宋体" w:cs="宋体"/>
          <w:color w:val="000000"/>
          <w:sz w:val="36"/>
          <w:szCs w:val="36"/>
          <w:highlight w:val="none"/>
          <w:lang w:val="zh-CN"/>
        </w:rPr>
        <w:t xml:space="preserve">技术条款偏离表</w:t>
      </w:r>
      <w:bookmarkEnd w:id="112"/>
      <w:r/>
      <w:bookmarkEnd w:id="113"/>
      <w:r/>
      <w:r/>
    </w:p>
    <w:tbl>
      <w:tblPr>
        <w:tblStyle w:val="699"/>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偏离内容及原因</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加盖电子公章</w:t>
      </w:r>
      <w:r>
        <w:rPr>
          <w:rFonts w:hint="eastAsia" w:ascii="宋体" w:hAnsi="宋体" w:cs="宋体"/>
          <w:color w:val="000000"/>
          <w:szCs w:val="21"/>
          <w:highlight w:val="none"/>
          <w:lang w:val="zh-CN"/>
        </w:rPr>
        <w:t xml:space="preserve">）</w:t>
      </w:r>
      <w:r/>
    </w:p>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p>
    <w:p>
      <w:pPr>
        <w:ind w:firstLine="422"/>
        <w:spacing w:line="46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1、供应商应逐一说明投标产品和服务响应，直接拷贝采购文件技术要求的按照无效投标处理；</w:t>
      </w:r>
      <w:r/>
    </w:p>
    <w:p>
      <w:pPr>
        <w:ind w:firstLine="420"/>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2、如果行数不够，请自行增加。</w:t>
      </w:r>
      <w:r/>
    </w:p>
    <w:p>
      <w:pPr>
        <w:jc w:val="left"/>
        <w:spacing w:line="360" w:lineRule="auto"/>
        <w:widowControl/>
        <w:rPr>
          <w:rFonts w:hint="eastAsia" w:ascii="宋体" w:hAnsi="宋体" w:cs="宋体"/>
          <w:b/>
          <w:color w:val="000000"/>
          <w:szCs w:val="21"/>
          <w:highlight w:val="none"/>
          <w:lang w:val="zh-CN"/>
        </w:rPr>
      </w:pPr>
      <w:r>
        <w:rPr>
          <w:rFonts w:ascii="宋体" w:hAnsi="宋体" w:cs="宋体"/>
          <w:b/>
          <w:color w:val="000000"/>
          <w:szCs w:val="21"/>
          <w:highlight w:val="none"/>
          <w:lang w:val="zh-CN"/>
        </w:rPr>
        <w:br w:type="page" w:clear="all"/>
      </w:r>
      <w:r>
        <w:rPr>
          <w:rFonts w:hint="eastAsia" w:ascii="宋体" w:hAnsi="宋体" w:cs="宋体"/>
          <w:b/>
          <w:color w:val="000000"/>
          <w:szCs w:val="21"/>
          <w:highlight w:val="none"/>
          <w:lang w:val="zh-CN"/>
        </w:rPr>
        <w:t xml:space="preserve">附件</w:t>
      </w:r>
      <w:r>
        <w:rPr>
          <w:rFonts w:hint="eastAsia" w:ascii="宋体" w:hAnsi="宋体" w:cs="宋体"/>
          <w:b/>
          <w:color w:val="000000"/>
          <w:szCs w:val="21"/>
          <w:highlight w:val="none"/>
          <w:lang w:val="en-US" w:eastAsia="zh-CN"/>
        </w:rPr>
        <w:t xml:space="preserve">五</w:t>
      </w:r>
      <w:r>
        <w:rPr>
          <w:rFonts w:hint="eastAsia" w:ascii="宋体" w:hAnsi="宋体" w:cs="宋体"/>
          <w:b/>
          <w:color w:val="000000"/>
          <w:szCs w:val="21"/>
          <w:highlight w:val="none"/>
          <w:lang w:val="zh-CN"/>
        </w:rPr>
        <w:t xml:space="preserve">、商务条款偏离表格式</w:t>
      </w:r>
      <w:r/>
    </w:p>
    <w:p>
      <w:pPr>
        <w:ind w:left="420"/>
        <w:jc w:val="center"/>
        <w:spacing w:line="360" w:lineRule="auto"/>
        <w:widowControl/>
        <w:rPr>
          <w:rFonts w:hint="eastAsia" w:ascii="宋体" w:hAnsi="宋体" w:cs="宋体"/>
          <w:color w:val="000000"/>
          <w:sz w:val="36"/>
          <w:szCs w:val="36"/>
          <w:highlight w:val="none"/>
          <w:lang w:val="zh-CN"/>
        </w:rPr>
        <w:outlineLvl w:val="0"/>
      </w:pPr>
      <w:r/>
      <w:bookmarkStart w:id="114" w:name="_Toc2600"/>
      <w:r/>
      <w:bookmarkStart w:id="115" w:name="_Toc8421"/>
      <w:r>
        <w:rPr>
          <w:rFonts w:hint="eastAsia" w:ascii="宋体" w:hAnsi="宋体" w:cs="宋体"/>
          <w:color w:val="000000"/>
          <w:sz w:val="36"/>
          <w:szCs w:val="36"/>
          <w:highlight w:val="none"/>
          <w:lang w:val="zh-CN"/>
        </w:rPr>
        <w:t xml:space="preserve">商务条款偏离表</w:t>
      </w:r>
      <w:bookmarkEnd w:id="114"/>
      <w:r/>
      <w:bookmarkEnd w:id="115"/>
      <w:r/>
      <w:r/>
    </w:p>
    <w:tbl>
      <w:tblPr>
        <w:tblStyle w:val="699"/>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供应商的承诺或说明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spacing w:line="46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加盖电子公章</w:t>
      </w:r>
      <w:r>
        <w:rPr>
          <w:rFonts w:hint="eastAsia" w:ascii="宋体" w:hAnsi="宋体" w:cs="宋体"/>
          <w:color w:val="000000"/>
          <w:szCs w:val="21"/>
          <w:highlight w:val="none"/>
          <w:lang w:val="zh-CN"/>
        </w:rPr>
        <w:t xml:space="preserve">）</w:t>
      </w:r>
      <w:r/>
    </w:p>
    <w:p>
      <w:pPr>
        <w:jc w:val="left"/>
        <w:spacing w:line="460" w:lineRule="exac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说明：如果行数不够，请自行增加。</w:t>
      </w:r>
      <w:r/>
    </w:p>
    <w:p>
      <w:pPr>
        <w:spacing w:line="46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460" w:lineRule="exact"/>
        <w:rPr>
          <w:rFonts w:hint="eastAsia" w:ascii="宋体" w:hAnsi="宋体" w:cs="宋体"/>
          <w:b/>
          <w:color w:val="000000"/>
          <w:highlight w:val="none"/>
        </w:rPr>
      </w:pPr>
      <w:r>
        <w:rPr>
          <w:rFonts w:hint="eastAsia" w:ascii="宋体" w:hAnsi="宋体" w:cs="宋体"/>
          <w:b/>
          <w:color w:val="000000"/>
          <w:highlight w:val="none"/>
        </w:rPr>
      </w:r>
      <w:r/>
    </w:p>
    <w:p>
      <w:pPr>
        <w:spacing w:line="460" w:lineRule="exact"/>
        <w:rPr>
          <w:rFonts w:hint="eastAsia" w:ascii="宋体" w:hAnsi="宋体" w:cs="宋体"/>
          <w:b/>
          <w:color w:val="000000"/>
          <w:highlight w:val="none"/>
        </w:rPr>
      </w:pPr>
      <w:r>
        <w:rPr>
          <w:rFonts w:hint="eastAsia" w:ascii="宋体" w:hAnsi="宋体" w:cs="宋体"/>
          <w:b/>
          <w:color w:val="000000"/>
          <w:highlight w:val="none"/>
        </w:rPr>
        <w:t xml:space="preserve">附件</w:t>
      </w:r>
      <w:r>
        <w:rPr>
          <w:rFonts w:hint="eastAsia" w:ascii="宋体" w:hAnsi="宋体" w:cs="宋体"/>
          <w:b/>
          <w:color w:val="000000"/>
          <w:highlight w:val="none"/>
          <w:lang w:val="en-US" w:eastAsia="zh-CN"/>
        </w:rPr>
        <w:t xml:space="preserve">六</w:t>
      </w:r>
      <w:r>
        <w:rPr>
          <w:rFonts w:hint="eastAsia" w:ascii="宋体" w:hAnsi="宋体" w:cs="宋体"/>
          <w:b/>
          <w:color w:val="000000"/>
          <w:highlight w:val="none"/>
        </w:rPr>
        <w:t xml:space="preserve">、实施方案（格式自拟）</w:t>
      </w:r>
      <w:r/>
    </w:p>
    <w:p>
      <w:pPr>
        <w:spacing w:line="360" w:lineRule="auto"/>
        <w:rPr>
          <w:rFonts w:hint="eastAsia" w:ascii="宋体" w:hAnsi="宋体" w:cs="宋体"/>
          <w:b/>
          <w:color w:val="000000"/>
          <w:highlight w:val="none"/>
        </w:rPr>
      </w:pPr>
      <w:r>
        <w:rPr>
          <w:rFonts w:hint="eastAsia" w:ascii="宋体" w:hAnsi="宋体" w:cs="宋体"/>
          <w:b/>
          <w:color w:val="000000"/>
          <w:highlight w:val="none"/>
        </w:rPr>
      </w:r>
      <w:r/>
    </w:p>
    <w:p>
      <w:pPr>
        <w:spacing w:line="360" w:lineRule="auto"/>
        <w:rPr>
          <w:rFonts w:hint="eastAsia" w:ascii="宋体" w:hAnsi="宋体" w:cs="宋体"/>
          <w:b/>
          <w:color w:val="000000"/>
          <w:highlight w:val="none"/>
        </w:rPr>
      </w:pPr>
      <w:r>
        <w:rPr>
          <w:rFonts w:ascii="宋体" w:hAnsi="宋体" w:cs="宋体"/>
          <w:b/>
          <w:color w:val="000000"/>
          <w:highlight w:val="none"/>
        </w:rPr>
        <w:br w:type="page" w:clear="all"/>
      </w:r>
      <w:r>
        <w:rPr>
          <w:rFonts w:hint="eastAsia" w:ascii="宋体" w:hAnsi="宋体" w:cs="宋体"/>
          <w:b/>
          <w:color w:val="000000"/>
          <w:highlight w:val="none"/>
        </w:rPr>
        <w:t xml:space="preserve">附件</w:t>
      </w:r>
      <w:r>
        <w:rPr>
          <w:rFonts w:hint="eastAsia" w:ascii="宋体" w:hAnsi="宋体" w:cs="宋体"/>
          <w:b/>
          <w:color w:val="000000"/>
          <w:highlight w:val="none"/>
          <w:lang w:val="en-US" w:eastAsia="zh-CN"/>
        </w:rPr>
        <w:t xml:space="preserve">七</w:t>
      </w:r>
      <w:r>
        <w:rPr>
          <w:rFonts w:hint="eastAsia" w:ascii="宋体" w:hAnsi="宋体" w:cs="宋体"/>
          <w:b/>
          <w:color w:val="000000"/>
          <w:highlight w:val="none"/>
        </w:rPr>
        <w:t xml:space="preserve">、中小企业声明函格式</w:t>
      </w:r>
      <w:r/>
    </w:p>
    <w:p>
      <w:pPr>
        <w:jc w:val="center"/>
        <w:spacing w:line="360" w:lineRule="auto"/>
        <w:rPr>
          <w:rFonts w:hint="eastAsia" w:ascii="宋体" w:hAnsi="宋体" w:cs="宋体"/>
          <w:color w:val="000000"/>
          <w:sz w:val="36"/>
          <w:szCs w:val="36"/>
          <w:highlight w:val="none"/>
          <w:lang w:val="zh-CN"/>
        </w:rPr>
      </w:pPr>
      <w:r>
        <w:rPr>
          <w:rFonts w:ascii="宋体" w:hAnsi="宋体" w:cs="宋体"/>
          <w:color w:val="000000"/>
          <w:sz w:val="36"/>
          <w:szCs w:val="36"/>
          <w:highlight w:val="none"/>
          <w:lang w:val="zh-CN"/>
        </w:rPr>
        <w:t xml:space="preserve">中小企业声明函</w:t>
      </w:r>
      <w:r/>
    </w:p>
    <w:p>
      <w:pPr>
        <w:spacing w:line="360" w:lineRule="auto"/>
        <w:rPr>
          <w:rFonts w:hint="eastAsia" w:ascii="宋体" w:hAnsi="宋体" w:cs="宋体"/>
          <w:color w:val="000000"/>
          <w:spacing w:val="15"/>
          <w:szCs w:val="21"/>
          <w:highlight w:val="none"/>
        </w:rPr>
      </w:pPr>
      <w:r>
        <w:rPr>
          <w:rFonts w:hint="eastAsia" w:ascii="宋体" w:hAnsi="宋体" w:cs="宋体"/>
          <w:color w:val="000000"/>
          <w:spacing w:val="15"/>
          <w:szCs w:val="21"/>
          <w:highlight w:val="none"/>
        </w:rPr>
      </w:r>
      <w:r/>
    </w:p>
    <w:p>
      <w:pPr>
        <w:ind w:firstLine="480"/>
        <w:spacing w:line="460" w:lineRule="exact"/>
        <w:rPr>
          <w:rFonts w:ascii="宋体" w:hAnsi="宋体" w:cs="宋体"/>
          <w:color w:val="000000"/>
          <w:spacing w:val="15"/>
          <w:szCs w:val="21"/>
          <w:highlight w:val="none"/>
        </w:rPr>
      </w:pPr>
      <w:r>
        <w:rPr>
          <w:rFonts w:ascii="宋体" w:hAnsi="宋体" w:cs="宋体"/>
          <w:color w:val="000000"/>
          <w:spacing w:val="15"/>
          <w:szCs w:val="21"/>
          <w:highlight w:val="none"/>
        </w:rPr>
        <w:t xml:space="preserve">本公司（联合体）郑重声明，根据《政府采购促进中小企业发展管理办法》（财库﹝2020﹞46号）的规定，本公司（联合体）参加</w:t>
      </w:r>
      <w:r>
        <w:rPr>
          <w:rFonts w:ascii="宋体" w:hAnsi="宋体" w:cs="宋体"/>
          <w:color w:val="000000"/>
          <w:spacing w:val="15"/>
          <w:szCs w:val="21"/>
          <w:highlight w:val="none"/>
          <w:u w:val="single"/>
        </w:rPr>
        <w:t xml:space="preserve">（单位名称）</w:t>
      </w:r>
      <w:r>
        <w:rPr>
          <w:rFonts w:ascii="宋体" w:hAnsi="宋体" w:cs="宋体"/>
          <w:color w:val="000000"/>
          <w:spacing w:val="15"/>
          <w:szCs w:val="21"/>
          <w:highlight w:val="none"/>
        </w:rPr>
        <w:t xml:space="preserve">的</w:t>
      </w:r>
      <w:r>
        <w:rPr>
          <w:rFonts w:ascii="宋体" w:hAnsi="宋体" w:cs="宋体"/>
          <w:color w:val="000000"/>
          <w:spacing w:val="15"/>
          <w:szCs w:val="21"/>
          <w:highlight w:val="none"/>
          <w:u w:val="single"/>
        </w:rPr>
        <w:t xml:space="preserve">（项目名称）</w:t>
      </w:r>
      <w:r>
        <w:rPr>
          <w:rFonts w:ascii="宋体" w:hAnsi="宋体" w:cs="宋体"/>
          <w:color w:val="000000"/>
          <w:spacing w:val="15"/>
          <w:szCs w:val="21"/>
          <w:highlight w:val="none"/>
        </w:rPr>
        <w:t xml:space="preserve">采购活动，</w:t>
      </w:r>
      <w:r>
        <w:rPr>
          <w:rFonts w:hint="eastAsia" w:ascii="宋体" w:hAnsi="宋体" w:cs="宋体"/>
          <w:color w:val="000000"/>
          <w:spacing w:val="15"/>
          <w:szCs w:val="21"/>
          <w:highlight w:val="none"/>
        </w:rPr>
        <w:t xml:space="preserve">提供的服务全部由符合政策要求的中小微企业。</w:t>
      </w:r>
      <w:r>
        <w:rPr>
          <w:rFonts w:ascii="宋体" w:hAnsi="宋体" w:cs="宋体"/>
          <w:color w:val="000000"/>
          <w:spacing w:val="15"/>
          <w:szCs w:val="21"/>
          <w:highlight w:val="none"/>
        </w:rPr>
        <w:t xml:space="preserve">相关企业（含联合体中的中小企业、签订分包意向协议的中小企业）的具体情 况如下： </w:t>
      </w:r>
      <w:r/>
    </w:p>
    <w:p>
      <w:pPr>
        <w:ind w:firstLine="480"/>
        <w:spacing w:line="460" w:lineRule="exact"/>
        <w:rPr>
          <w:rFonts w:ascii="宋体" w:hAnsi="宋体" w:cs="宋体"/>
          <w:color w:val="000000"/>
          <w:spacing w:val="15"/>
          <w:szCs w:val="21"/>
          <w:highlight w:val="none"/>
        </w:rPr>
      </w:pPr>
      <w:r>
        <w:rPr>
          <w:rFonts w:ascii="宋体" w:hAnsi="宋体" w:cs="宋体"/>
          <w:color w:val="000000"/>
          <w:spacing w:val="15"/>
          <w:szCs w:val="21"/>
          <w:highlight w:val="none"/>
        </w:rPr>
        <w:t xml:space="preserve">1.</w:t>
      </w:r>
      <w:r>
        <w:rPr>
          <w:rFonts w:ascii="宋体" w:hAnsi="宋体" w:cs="宋体"/>
          <w:color w:val="000000"/>
          <w:spacing w:val="15"/>
          <w:szCs w:val="21"/>
          <w:highlight w:val="none"/>
          <w:u w:val="single"/>
        </w:rPr>
        <w:t xml:space="preserve"> （标的名称） </w:t>
      </w:r>
      <w:r>
        <w:rPr>
          <w:rFonts w:ascii="宋体" w:hAnsi="宋体" w:cs="宋体"/>
          <w:color w:val="000000"/>
          <w:spacing w:val="15"/>
          <w:szCs w:val="21"/>
          <w:highlight w:val="none"/>
        </w:rPr>
        <w:t xml:space="preserve">，属于</w:t>
      </w:r>
      <w:r>
        <w:rPr>
          <w:rFonts w:ascii="宋体" w:hAnsi="宋体" w:cs="宋体"/>
          <w:color w:val="000000"/>
          <w:spacing w:val="15"/>
          <w:szCs w:val="21"/>
          <w:highlight w:val="none"/>
          <w:u w:val="single"/>
        </w:rPr>
        <w:t xml:space="preserve">（采购文件中明确的所属行业）</w:t>
      </w:r>
      <w:r>
        <w:rPr>
          <w:rFonts w:ascii="宋体" w:hAnsi="宋体" w:cs="宋体"/>
          <w:color w:val="000000"/>
          <w:spacing w:val="15"/>
          <w:szCs w:val="21"/>
          <w:highlight w:val="none"/>
        </w:rPr>
        <w:t xml:space="preserve">；</w:t>
      </w:r>
      <w:r>
        <w:rPr>
          <w:rFonts w:hint="eastAsia" w:ascii="宋体" w:hAnsi="宋体" w:cs="宋体"/>
          <w:color w:val="000000"/>
          <w:spacing w:val="15"/>
          <w:szCs w:val="21"/>
          <w:highlight w:val="none"/>
        </w:rPr>
        <w:t xml:space="preserve">服务单位为</w:t>
      </w:r>
      <w:r>
        <w:rPr>
          <w:rFonts w:ascii="宋体" w:hAnsi="宋体" w:cs="宋体"/>
          <w:color w:val="000000"/>
          <w:spacing w:val="15"/>
          <w:szCs w:val="21"/>
          <w:highlight w:val="none"/>
          <w:u w:val="single"/>
        </w:rPr>
        <w:t xml:space="preserve">（企业名称）</w:t>
      </w:r>
      <w:r>
        <w:rPr>
          <w:rFonts w:ascii="宋体" w:hAnsi="宋体" w:cs="宋体"/>
          <w:color w:val="000000"/>
          <w:spacing w:val="15"/>
          <w:szCs w:val="21"/>
          <w:highlight w:val="none"/>
        </w:rPr>
        <w:t xml:space="preserve">，从业人员</w:t>
      </w:r>
      <w:r>
        <w:rPr>
          <w:rFonts w:hint="eastAsia" w:ascii="宋体" w:hAnsi="宋体" w:cs="宋体"/>
          <w:color w:val="000000"/>
          <w:spacing w:val="15"/>
          <w:szCs w:val="21"/>
          <w:highlight w:val="none"/>
          <w:u w:val="single"/>
        </w:rPr>
        <w:t xml:space="preserve"> </w:t>
      </w:r>
      <w:r>
        <w:rPr>
          <w:rFonts w:ascii="宋体" w:hAnsi="宋体" w:cs="宋体"/>
          <w:color w:val="000000"/>
          <w:spacing w:val="15"/>
          <w:szCs w:val="21"/>
          <w:highlight w:val="none"/>
        </w:rPr>
        <w:t xml:space="preserve">人，营业收入为</w:t>
      </w:r>
      <w:r>
        <w:rPr>
          <w:rFonts w:ascii="宋体" w:hAnsi="宋体" w:cs="宋体"/>
          <w:color w:val="000000"/>
          <w:spacing w:val="15"/>
          <w:szCs w:val="21"/>
          <w:highlight w:val="none"/>
          <w:u w:val="single"/>
        </w:rPr>
        <w:t xml:space="preserve"> </w:t>
      </w:r>
      <w:r>
        <w:rPr>
          <w:rFonts w:ascii="宋体" w:hAnsi="宋体" w:cs="宋体"/>
          <w:color w:val="000000"/>
          <w:spacing w:val="15"/>
          <w:szCs w:val="21"/>
          <w:highlight w:val="none"/>
        </w:rPr>
        <w:t xml:space="preserve">万元，资产总额为</w:t>
      </w:r>
      <w:r>
        <w:rPr>
          <w:rFonts w:ascii="宋体" w:hAnsi="宋体" w:cs="宋体"/>
          <w:color w:val="000000"/>
          <w:spacing w:val="15"/>
          <w:szCs w:val="21"/>
          <w:highlight w:val="none"/>
          <w:u w:val="single"/>
        </w:rPr>
        <w:t xml:space="preserve"> </w:t>
      </w:r>
      <w:r>
        <w:rPr>
          <w:rFonts w:ascii="宋体" w:hAnsi="宋体" w:cs="宋体"/>
          <w:color w:val="000000"/>
          <w:spacing w:val="15"/>
          <w:szCs w:val="21"/>
          <w:highlight w:val="none"/>
        </w:rPr>
        <w:t xml:space="preserve">万元，属于</w:t>
      </w:r>
      <w:r>
        <w:rPr>
          <w:rFonts w:ascii="宋体" w:hAnsi="宋体" w:cs="宋体"/>
          <w:color w:val="000000"/>
          <w:spacing w:val="15"/>
          <w:szCs w:val="21"/>
          <w:highlight w:val="none"/>
          <w:u w:val="single"/>
        </w:rPr>
        <w:t xml:space="preserve">（中型企业、小型企业、微型企业）</w:t>
      </w:r>
      <w:r>
        <w:rPr>
          <w:rFonts w:ascii="宋体" w:hAnsi="宋体" w:cs="宋体"/>
          <w:color w:val="000000"/>
          <w:spacing w:val="15"/>
          <w:szCs w:val="21"/>
          <w:highlight w:val="none"/>
        </w:rPr>
        <w:t xml:space="preserve">； </w:t>
      </w:r>
      <w:r/>
    </w:p>
    <w:p>
      <w:pPr>
        <w:ind w:firstLine="480"/>
        <w:spacing w:line="460" w:lineRule="exact"/>
        <w:rPr>
          <w:rFonts w:ascii="宋体" w:hAnsi="宋体" w:cs="宋体"/>
          <w:color w:val="000000"/>
          <w:spacing w:val="15"/>
          <w:szCs w:val="21"/>
          <w:highlight w:val="none"/>
        </w:rPr>
      </w:pPr>
      <w:r>
        <w:rPr>
          <w:rFonts w:ascii="宋体" w:hAnsi="宋体" w:cs="宋体"/>
          <w:color w:val="000000"/>
          <w:spacing w:val="15"/>
          <w:szCs w:val="21"/>
          <w:highlight w:val="none"/>
        </w:rPr>
        <w:t xml:space="preserve">2.</w:t>
      </w:r>
      <w:r>
        <w:rPr>
          <w:rFonts w:ascii="宋体" w:hAnsi="宋体" w:cs="宋体"/>
          <w:color w:val="000000"/>
          <w:spacing w:val="15"/>
          <w:szCs w:val="21"/>
          <w:highlight w:val="none"/>
          <w:u w:val="single"/>
        </w:rPr>
        <w:t xml:space="preserve"> （标的名称） </w:t>
      </w:r>
      <w:r>
        <w:rPr>
          <w:rFonts w:ascii="宋体" w:hAnsi="宋体" w:cs="宋体"/>
          <w:color w:val="000000"/>
          <w:spacing w:val="15"/>
          <w:szCs w:val="21"/>
          <w:highlight w:val="none"/>
        </w:rPr>
        <w:t xml:space="preserve">，属于</w:t>
      </w:r>
      <w:r>
        <w:rPr>
          <w:rFonts w:ascii="宋体" w:hAnsi="宋体" w:cs="宋体"/>
          <w:color w:val="000000"/>
          <w:spacing w:val="15"/>
          <w:szCs w:val="21"/>
          <w:highlight w:val="none"/>
          <w:u w:val="single"/>
        </w:rPr>
        <w:t xml:space="preserve">（采购文件中明确的所属行业）</w:t>
      </w:r>
      <w:r>
        <w:rPr>
          <w:rFonts w:ascii="宋体" w:hAnsi="宋体" w:cs="宋体"/>
          <w:color w:val="000000"/>
          <w:spacing w:val="15"/>
          <w:szCs w:val="21"/>
          <w:highlight w:val="none"/>
        </w:rPr>
        <w:t xml:space="preserve">；</w:t>
      </w:r>
      <w:r>
        <w:rPr>
          <w:rFonts w:hint="eastAsia" w:ascii="宋体" w:hAnsi="宋体" w:cs="宋体"/>
          <w:color w:val="000000"/>
          <w:spacing w:val="15"/>
          <w:szCs w:val="21"/>
          <w:highlight w:val="none"/>
        </w:rPr>
        <w:t xml:space="preserve">服务单位为</w:t>
      </w:r>
      <w:r>
        <w:rPr>
          <w:rFonts w:ascii="宋体" w:hAnsi="宋体" w:cs="宋体"/>
          <w:color w:val="000000"/>
          <w:spacing w:val="15"/>
          <w:szCs w:val="21"/>
          <w:highlight w:val="none"/>
          <w:u w:val="single"/>
        </w:rPr>
        <w:t xml:space="preserve">（企业名称）</w:t>
      </w:r>
      <w:r>
        <w:rPr>
          <w:rFonts w:ascii="宋体" w:hAnsi="宋体" w:cs="宋体"/>
          <w:color w:val="000000"/>
          <w:spacing w:val="15"/>
          <w:szCs w:val="21"/>
          <w:highlight w:val="none"/>
        </w:rPr>
        <w:t xml:space="preserve">，从业人员</w:t>
      </w:r>
      <w:r>
        <w:rPr>
          <w:rFonts w:ascii="宋体" w:hAnsi="宋体" w:cs="宋体"/>
          <w:color w:val="000000"/>
          <w:spacing w:val="15"/>
          <w:szCs w:val="21"/>
          <w:highlight w:val="none"/>
          <w:u w:val="single"/>
        </w:rPr>
        <w:t xml:space="preserve"> </w:t>
      </w:r>
      <w:r>
        <w:rPr>
          <w:rFonts w:ascii="宋体" w:hAnsi="宋体" w:cs="宋体"/>
          <w:color w:val="000000"/>
          <w:spacing w:val="15"/>
          <w:szCs w:val="21"/>
          <w:highlight w:val="none"/>
        </w:rPr>
        <w:t xml:space="preserve">人，营业收入为</w:t>
      </w:r>
      <w:r>
        <w:rPr>
          <w:rFonts w:ascii="宋体" w:hAnsi="宋体" w:cs="宋体"/>
          <w:color w:val="000000"/>
          <w:spacing w:val="15"/>
          <w:szCs w:val="21"/>
          <w:highlight w:val="none"/>
          <w:u w:val="single"/>
        </w:rPr>
        <w:t xml:space="preserve"> </w:t>
      </w:r>
      <w:r>
        <w:rPr>
          <w:rFonts w:ascii="宋体" w:hAnsi="宋体" w:cs="宋体"/>
          <w:color w:val="000000"/>
          <w:spacing w:val="15"/>
          <w:szCs w:val="21"/>
          <w:highlight w:val="none"/>
        </w:rPr>
        <w:t xml:space="preserve">万元，资产总额为</w:t>
      </w:r>
      <w:r>
        <w:rPr>
          <w:rFonts w:ascii="宋体" w:hAnsi="宋体" w:cs="宋体"/>
          <w:color w:val="000000"/>
          <w:spacing w:val="15"/>
          <w:szCs w:val="21"/>
          <w:highlight w:val="none"/>
          <w:u w:val="single"/>
        </w:rPr>
        <w:t xml:space="preserve"> </w:t>
      </w:r>
      <w:r>
        <w:rPr>
          <w:rFonts w:ascii="宋体" w:hAnsi="宋体" w:cs="宋体"/>
          <w:color w:val="000000"/>
          <w:spacing w:val="15"/>
          <w:szCs w:val="21"/>
          <w:highlight w:val="none"/>
        </w:rPr>
        <w:t xml:space="preserve">万元，属于</w:t>
      </w:r>
      <w:r>
        <w:rPr>
          <w:rFonts w:ascii="宋体" w:hAnsi="宋体" w:cs="宋体"/>
          <w:color w:val="000000"/>
          <w:spacing w:val="15"/>
          <w:szCs w:val="21"/>
          <w:highlight w:val="none"/>
          <w:u w:val="single"/>
        </w:rPr>
        <w:t xml:space="preserve">（中型企业、小型企业、微型企业）</w:t>
      </w:r>
      <w:r>
        <w:rPr>
          <w:rFonts w:ascii="宋体" w:hAnsi="宋体" w:cs="宋体"/>
          <w:color w:val="000000"/>
          <w:spacing w:val="15"/>
          <w:szCs w:val="21"/>
          <w:highlight w:val="none"/>
        </w:rPr>
        <w:t xml:space="preserve">； </w:t>
      </w:r>
      <w:r/>
    </w:p>
    <w:p>
      <w:pPr>
        <w:ind w:firstLine="480"/>
        <w:spacing w:line="460" w:lineRule="exact"/>
        <w:rPr>
          <w:rFonts w:ascii="宋体" w:hAnsi="宋体" w:cs="宋体"/>
          <w:color w:val="000000"/>
          <w:spacing w:val="15"/>
          <w:szCs w:val="21"/>
          <w:highlight w:val="none"/>
        </w:rPr>
      </w:pPr>
      <w:r>
        <w:rPr>
          <w:rFonts w:ascii="宋体" w:hAnsi="宋体" w:cs="宋体"/>
          <w:color w:val="000000"/>
          <w:spacing w:val="15"/>
          <w:szCs w:val="21"/>
          <w:highlight w:val="none"/>
        </w:rPr>
        <w:t xml:space="preserve">…… </w:t>
      </w:r>
      <w:r/>
    </w:p>
    <w:p>
      <w:pPr>
        <w:ind w:firstLine="480"/>
        <w:spacing w:line="460" w:lineRule="exact"/>
        <w:rPr>
          <w:rFonts w:ascii="宋体" w:hAnsi="宋体" w:cs="宋体"/>
          <w:color w:val="000000"/>
          <w:spacing w:val="15"/>
          <w:szCs w:val="21"/>
          <w:highlight w:val="none"/>
        </w:rP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 形。 </w:t>
      </w:r>
      <w:r/>
    </w:p>
    <w:p>
      <w:pPr>
        <w:ind w:firstLine="480"/>
        <w:spacing w:line="460" w:lineRule="exact"/>
        <w:rPr>
          <w:rFonts w:hint="eastAsia" w:ascii="宋体" w:hAnsi="宋体" w:cs="宋体"/>
          <w:color w:val="000000"/>
          <w:spacing w:val="15"/>
          <w:szCs w:val="21"/>
          <w:highlight w:val="none"/>
        </w:rPr>
      </w:pPr>
      <w:r>
        <w:rPr>
          <w:rFonts w:ascii="宋体" w:hAnsi="宋体" w:cs="宋体"/>
          <w:color w:val="000000"/>
          <w:spacing w:val="15"/>
          <w:szCs w:val="21"/>
          <w:highlight w:val="none"/>
        </w:rPr>
        <w:t xml:space="preserve">本企业对上述声明内容的真实性负责。如有虚假，将依 法承担相应责任。</w:t>
      </w:r>
      <w:r/>
    </w:p>
    <w:p>
      <w:pPr>
        <w:ind w:firstLine="480"/>
        <w:spacing w:line="460" w:lineRule="exact"/>
        <w:rPr>
          <w:rFonts w:hint="eastAsia" w:ascii="宋体" w:hAnsi="宋体" w:cs="宋体"/>
          <w:color w:val="000000"/>
          <w:spacing w:val="15"/>
          <w:szCs w:val="21"/>
          <w:highlight w:val="none"/>
        </w:rPr>
      </w:pPr>
      <w:r>
        <w:rPr>
          <w:rFonts w:hint="eastAsia" w:ascii="宋体" w:hAnsi="宋体" w:cs="宋体"/>
          <w:color w:val="000000"/>
          <w:spacing w:val="15"/>
          <w:szCs w:val="21"/>
          <w:highlight w:val="none"/>
        </w:rPr>
      </w:r>
      <w:r/>
    </w:p>
    <w:p>
      <w:pPr>
        <w:ind w:firstLine="480"/>
        <w:spacing w:line="460" w:lineRule="exact"/>
        <w:rPr>
          <w:rFonts w:hint="eastAsia" w:ascii="宋体" w:hAnsi="宋体" w:cs="宋体"/>
          <w:color w:val="000000"/>
          <w:spacing w:val="15"/>
          <w:szCs w:val="21"/>
          <w:highlight w:val="none"/>
        </w:rPr>
      </w:pPr>
      <w:r>
        <w:rPr>
          <w:rFonts w:ascii="宋体" w:hAnsi="宋体" w:cs="宋体"/>
          <w:color w:val="000000"/>
          <w:spacing w:val="15"/>
          <w:szCs w:val="21"/>
          <w:highlight w:val="none"/>
        </w:rPr>
        <w:t xml:space="preserve"> </w:t>
      </w:r>
      <w:r/>
    </w:p>
    <w:p>
      <w:pPr>
        <w:ind w:firstLine="4560"/>
        <w:spacing w:line="460" w:lineRule="exact"/>
        <w:rPr>
          <w:rFonts w:hint="eastAsia" w:ascii="宋体" w:hAnsi="宋体" w:cs="宋体"/>
          <w:color w:val="000000"/>
          <w:spacing w:val="15"/>
          <w:szCs w:val="21"/>
          <w:highlight w:val="none"/>
        </w:rPr>
      </w:pPr>
      <w:r>
        <w:rPr>
          <w:rFonts w:ascii="宋体" w:hAnsi="宋体" w:cs="宋体"/>
          <w:color w:val="000000"/>
          <w:spacing w:val="15"/>
          <w:szCs w:val="21"/>
          <w:highlight w:val="none"/>
        </w:rPr>
        <w:t xml:space="preserve">企业名称（加盖电子公章）：</w:t>
      </w:r>
      <w:r/>
    </w:p>
    <w:p>
      <w:pPr>
        <w:ind w:firstLine="4560"/>
        <w:spacing w:line="460" w:lineRule="exact"/>
        <w:rPr>
          <w:rFonts w:ascii="宋体" w:hAnsi="宋体" w:cs="宋体"/>
          <w:color w:val="000000"/>
          <w:spacing w:val="15"/>
          <w:szCs w:val="21"/>
          <w:highlight w:val="none"/>
        </w:rPr>
      </w:pPr>
      <w:r>
        <w:rPr>
          <w:rFonts w:ascii="宋体" w:hAnsi="宋体" w:cs="宋体"/>
          <w:color w:val="000000"/>
          <w:spacing w:val="15"/>
          <w:szCs w:val="21"/>
          <w:highlight w:val="none"/>
        </w:rPr>
        <w:t xml:space="preserve">日 期：</w:t>
      </w:r>
      <w:r/>
    </w:p>
    <w:p>
      <w:pPr>
        <w:ind w:firstLine="4200"/>
        <w:spacing w:line="460" w:lineRule="exact"/>
        <w:rPr>
          <w:rFonts w:hint="eastAsia" w:ascii="宋体" w:hAnsi="宋体" w:cs="宋体"/>
          <w:color w:val="000000"/>
          <w:highlight w:val="none"/>
        </w:rPr>
      </w:pPr>
      <w:r>
        <w:rPr>
          <w:rFonts w:hint="eastAsia" w:ascii="宋体" w:hAnsi="宋体" w:cs="宋体"/>
          <w:color w:val="000000"/>
          <w:highlight w:val="none"/>
        </w:rPr>
      </w:r>
      <w:r/>
    </w:p>
    <w:p>
      <w:pPr>
        <w:spacing w:line="460" w:lineRule="exact"/>
        <w:rPr>
          <w:rFonts w:hint="eastAsia" w:ascii="宋体" w:hAnsi="宋体" w:cs="宋体"/>
          <w:color w:val="000000"/>
          <w:highlight w:val="none"/>
        </w:rPr>
      </w:pPr>
      <w:r>
        <w:rPr>
          <w:rFonts w:hint="eastAsia" w:ascii="宋体" w:hAnsi="宋体" w:cs="宋体"/>
          <w:color w:val="000000"/>
          <w:highlight w:val="none"/>
        </w:rPr>
      </w:r>
      <w:r/>
    </w:p>
    <w:p>
      <w:pPr>
        <w:ind w:firstLine="4200"/>
        <w:spacing w:line="460" w:lineRule="exact"/>
        <w:rPr>
          <w:rFonts w:hint="eastAsia" w:ascii="宋体" w:hAnsi="宋体" w:cs="宋体"/>
          <w:color w:val="000000"/>
          <w:highlight w:val="none"/>
        </w:rPr>
      </w:pPr>
      <w:r>
        <w:rPr>
          <w:rFonts w:hint="eastAsia" w:ascii="宋体" w:hAnsi="宋体" w:cs="宋体"/>
          <w:color w:val="000000"/>
          <w:highlight w:val="none"/>
        </w:rPr>
      </w:r>
      <w:r/>
    </w:p>
    <w:p>
      <w:pPr>
        <w:spacing w:line="460" w:lineRule="exact"/>
        <w:widowControl/>
        <w:rPr>
          <w:rFonts w:ascii="宋体" w:hAnsi="宋体" w:cs="宋体"/>
          <w:b/>
          <w:color w:val="000000"/>
          <w:highlight w:val="none"/>
        </w:rPr>
      </w:pPr>
      <w:r>
        <w:rPr>
          <w:rFonts w:ascii="宋体" w:hAnsi="宋体" w:cs="宋体"/>
          <w:b/>
          <w:color w:val="000000"/>
          <w:highlight w:val="none"/>
        </w:rPr>
        <w:br w:type="page" w:clear="all"/>
      </w:r>
      <w:r>
        <w:rPr>
          <w:rFonts w:hint="eastAsia" w:ascii="宋体" w:hAnsi="宋体" w:cs="宋体"/>
          <w:b/>
          <w:color w:val="000000"/>
          <w:highlight w:val="none"/>
        </w:rPr>
        <w:t xml:space="preserve">附件</w:t>
      </w:r>
      <w:r>
        <w:rPr>
          <w:rFonts w:hint="eastAsia" w:ascii="宋体" w:hAnsi="宋体" w:cs="宋体"/>
          <w:b/>
          <w:color w:val="000000"/>
          <w:highlight w:val="none"/>
          <w:lang w:val="en-US" w:eastAsia="zh-CN"/>
        </w:rPr>
        <w:t xml:space="preserve">八</w:t>
      </w:r>
      <w:r>
        <w:rPr>
          <w:rFonts w:hint="eastAsia" w:ascii="宋体" w:hAnsi="宋体" w:cs="宋体"/>
          <w:b/>
          <w:color w:val="000000"/>
          <w:highlight w:val="none"/>
        </w:rPr>
        <w:t xml:space="preserve">、无重大违法记录声明格式</w:t>
      </w:r>
      <w:r/>
    </w:p>
    <w:p>
      <w:pPr>
        <w:spacing w:line="460" w:lineRule="exact"/>
        <w:widowControl/>
        <w:rPr>
          <w:rFonts w:hint="eastAsia" w:ascii="宋体" w:hAnsi="宋体" w:cs="宋体"/>
          <w:b/>
          <w:color w:val="000000"/>
          <w:highlight w:val="none"/>
        </w:rPr>
      </w:pPr>
      <w:r>
        <w:rPr>
          <w:rFonts w:hint="eastAsia" w:ascii="宋体" w:hAnsi="宋体" w:cs="宋体"/>
          <w:b/>
          <w:color w:val="000000"/>
          <w:highlight w:val="none"/>
        </w:rPr>
      </w:r>
      <w:r/>
    </w:p>
    <w:p>
      <w:pPr>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无重大违法记录声明</w:t>
      </w:r>
      <w:r/>
    </w:p>
    <w:p>
      <w:pPr>
        <w:spacing w:line="460" w:lineRule="exact"/>
        <w:rPr>
          <w:rFonts w:hint="eastAsia" w:ascii="宋体" w:hAnsi="宋体" w:cs="宋体"/>
          <w:color w:val="000000"/>
          <w:highlight w:val="none"/>
        </w:rPr>
      </w:pPr>
      <w:r>
        <w:rPr>
          <w:rFonts w:hint="eastAsia" w:ascii="宋体" w:hAnsi="宋体" w:cs="宋体"/>
          <w:color w:val="000000"/>
          <w:highlight w:val="none"/>
        </w:rPr>
      </w:r>
      <w:r/>
    </w:p>
    <w:p>
      <w:pPr>
        <w:spacing w:line="460" w:lineRule="exact"/>
        <w:rPr>
          <w:rFonts w:hint="eastAsia" w:ascii="宋体" w:hAnsi="宋体" w:cs="宋体"/>
          <w:color w:val="000000"/>
          <w:highlight w:val="none"/>
        </w:rPr>
      </w:pPr>
      <w:r>
        <w:rPr>
          <w:rFonts w:ascii="宋体" w:hAnsi="宋体" w:cs="宋体"/>
          <w:color w:val="000000"/>
          <w:highlight w:val="none"/>
          <w:u w:val="single"/>
        </w:rPr>
        <w:t xml:space="preserve">        </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采购人名称）：</w:t>
      </w:r>
      <w:r/>
    </w:p>
    <w:p>
      <w:pPr>
        <w:spacing w:line="460" w:lineRule="exact"/>
        <w:rPr>
          <w:rFonts w:hint="eastAsia" w:ascii="宋体" w:hAnsi="宋体" w:cs="宋体"/>
          <w:color w:val="000000"/>
          <w:highlight w:val="none"/>
        </w:rPr>
      </w:pPr>
      <w:r>
        <w:rPr>
          <w:rFonts w:hint="eastAsia" w:ascii="宋体" w:hAnsi="宋体" w:cs="宋体"/>
          <w:color w:val="000000"/>
          <w:highlight w:val="none"/>
        </w:rPr>
        <w:t xml:space="preserve">    我单位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（供应商名称）郑重声明：</w:t>
      </w:r>
      <w:r/>
    </w:p>
    <w:p>
      <w:pPr>
        <w:spacing w:line="460" w:lineRule="exact"/>
        <w:rPr>
          <w:rFonts w:hint="eastAsia" w:ascii="宋体" w:hAnsi="宋体" w:cs="宋体"/>
          <w:color w:val="000000"/>
          <w:highlight w:val="none"/>
        </w:rPr>
      </w:pPr>
      <w:r>
        <w:rPr>
          <w:rFonts w:hint="eastAsia" w:ascii="宋体" w:hAnsi="宋体" w:cs="宋体"/>
          <w:color w:val="000000"/>
          <w:highlight w:val="none"/>
        </w:rPr>
        <w:t xml:space="preserve">    参加政府采购活动前3年内在经营活动中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（在下划线上如实填写：有或没有）重大违法记录。</w:t>
      </w:r>
      <w:r/>
    </w:p>
    <w:p>
      <w:pPr>
        <w:spacing w:line="460" w:lineRule="exact"/>
        <w:rPr>
          <w:rFonts w:hint="eastAsia" w:ascii="宋体" w:hAnsi="宋体" w:cs="宋体"/>
          <w:color w:val="000000"/>
          <w:highlight w:val="none"/>
        </w:rPr>
      </w:pPr>
      <w:r>
        <w:rPr>
          <w:rFonts w:hint="eastAsia" w:ascii="宋体" w:hAnsi="宋体" w:cs="宋体"/>
          <w:color w:val="00000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460" w:lineRule="exact"/>
        <w:rPr>
          <w:rFonts w:hint="eastAsia" w:ascii="宋体" w:hAnsi="宋体" w:cs="宋体"/>
          <w:color w:val="000000"/>
          <w:highlight w:val="none"/>
        </w:rPr>
      </w:pPr>
      <w:r>
        <w:rPr>
          <w:rFonts w:hint="eastAsia" w:ascii="宋体" w:hAnsi="宋体" w:cs="宋体"/>
          <w:color w:val="000000"/>
          <w:highlight w:val="none"/>
        </w:rPr>
      </w:r>
      <w:r/>
    </w:p>
    <w:p>
      <w:pPr>
        <w:jc w:val="right"/>
        <w:spacing w:line="460" w:lineRule="exact"/>
        <w:rPr>
          <w:rFonts w:hint="eastAsia" w:ascii="宋体" w:hAnsi="宋体" w:cs="宋体"/>
          <w:color w:val="000000"/>
          <w:sz w:val="30"/>
          <w:szCs w:val="30"/>
          <w:highlight w:val="none"/>
        </w:rPr>
      </w:pPr>
      <w:r>
        <w:rPr>
          <w:rFonts w:hint="eastAsia" w:ascii="宋体" w:hAnsi="宋体" w:cs="宋体"/>
          <w:color w:val="000000"/>
          <w:highlight w:val="none"/>
        </w:rPr>
        <w:t xml:space="preserve">                                                      声明人：（加盖电子公章）</w:t>
      </w:r>
      <w:r/>
    </w:p>
    <w:p>
      <w:pPr>
        <w:ind w:firstLine="4515"/>
        <w:jc w:val="right"/>
        <w:spacing w:line="460" w:lineRule="exact"/>
        <w:rPr>
          <w:rFonts w:hint="eastAsia" w:ascii="宋体" w:hAnsi="宋体" w:cs="宋体"/>
          <w:color w:val="000000"/>
          <w:highlight w:val="none"/>
        </w:rPr>
      </w:pPr>
      <w:r>
        <w:rPr>
          <w:rFonts w:hint="eastAsia" w:ascii="宋体" w:hAnsi="宋体" w:cs="宋体"/>
          <w:color w:val="000000"/>
          <w:highlight w:val="none"/>
        </w:rPr>
        <w:t xml:space="preserve">年     月    日</w:t>
      </w:r>
      <w:r/>
    </w:p>
    <w:p>
      <w:pPr>
        <w:spacing w:line="360" w:lineRule="auto"/>
        <w:rPr>
          <w:rFonts w:hint="eastAsia" w:ascii="宋体" w:hAnsi="宋体" w:cs="宋体"/>
          <w:b/>
          <w:color w:val="000000"/>
          <w:highlight w:val="none"/>
        </w:rPr>
      </w:pPr>
      <w:r>
        <w:rPr>
          <w:rFonts w:hint="eastAsia" w:ascii="宋体" w:hAnsi="宋体" w:cs="宋体"/>
          <w:b/>
          <w:color w:val="000000"/>
          <w:highlight w:val="none"/>
        </w:rPr>
      </w:r>
      <w:r/>
    </w:p>
    <w:p>
      <w:pPr>
        <w:spacing w:line="360" w:lineRule="auto"/>
        <w:rPr>
          <w:rFonts w:ascii="宋体" w:hAnsi="宋体" w:cs="宋体"/>
          <w:b/>
          <w:color w:val="000000"/>
          <w:highlight w:val="none"/>
        </w:rPr>
      </w:pPr>
      <w:r>
        <w:rPr>
          <w:rFonts w:hint="eastAsia" w:ascii="宋体" w:hAnsi="宋体" w:cs="宋体"/>
          <w:b/>
          <w:color w:val="000000"/>
          <w:highlight w:val="none"/>
        </w:rPr>
        <w:t xml:space="preserve">附件</w:t>
      </w:r>
      <w:r>
        <w:rPr>
          <w:rFonts w:hint="eastAsia" w:ascii="宋体" w:hAnsi="宋体" w:cs="宋体"/>
          <w:b/>
          <w:color w:val="000000"/>
          <w:highlight w:val="none"/>
          <w:lang w:val="en-US" w:eastAsia="zh-CN"/>
        </w:rPr>
        <w:t xml:space="preserve">九</w:t>
      </w:r>
      <w:r>
        <w:rPr>
          <w:rFonts w:hint="eastAsia" w:ascii="宋体" w:hAnsi="宋体" w:cs="宋体"/>
          <w:b/>
          <w:color w:val="000000"/>
          <w:highlight w:val="none"/>
        </w:rPr>
        <w:t xml:space="preserve">、具备履行合同所必需的设备和专业技术能力的声明格式及证明材料</w:t>
      </w:r>
      <w:r/>
    </w:p>
    <w:p>
      <w:pPr>
        <w:spacing w:line="360" w:lineRule="auto"/>
        <w:rPr>
          <w:rFonts w:hint="eastAsia" w:ascii="宋体" w:hAnsi="宋体" w:cs="宋体"/>
          <w:b/>
          <w:color w:val="000000"/>
          <w:highlight w:val="none"/>
        </w:rPr>
      </w:pPr>
      <w:r>
        <w:rPr>
          <w:rFonts w:hint="eastAsia" w:ascii="宋体" w:hAnsi="宋体" w:cs="宋体"/>
          <w:b/>
          <w:color w:val="000000"/>
          <w:highlight w:val="none"/>
        </w:rPr>
      </w:r>
      <w:r/>
    </w:p>
    <w:p>
      <w:pPr>
        <w:spacing w:line="360" w:lineRule="auto"/>
        <w:rPr>
          <w:rFonts w:ascii="宋体" w:hAnsi="宋体" w:cs="宋体"/>
          <w:color w:val="000000"/>
          <w:sz w:val="36"/>
          <w:szCs w:val="36"/>
          <w:highlight w:val="none"/>
        </w:rPr>
      </w:pPr>
      <w:r>
        <w:rPr>
          <w:rFonts w:hint="eastAsia" w:ascii="宋体" w:hAnsi="宋体" w:cs="宋体"/>
          <w:color w:val="000000"/>
          <w:sz w:val="36"/>
          <w:szCs w:val="36"/>
          <w:highlight w:val="none"/>
        </w:rPr>
        <w:t xml:space="preserve">  具备履行合同所必需的设备和专业技术能力的声明格式</w:t>
      </w:r>
      <w:r/>
    </w:p>
    <w:p>
      <w:pP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spacing w:line="460" w:lineRule="exact"/>
        <w:rPr>
          <w:rFonts w:hint="eastAsia" w:ascii="宋体" w:hAnsi="宋体" w:cs="宋体"/>
          <w:color w:val="000000"/>
          <w:highlight w:val="none"/>
        </w:rPr>
      </w:pP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采购人名称）：</w:t>
      </w:r>
      <w:r/>
    </w:p>
    <w:p>
      <w:pPr>
        <w:ind w:firstLine="492"/>
        <w:spacing w:line="460" w:lineRule="exact"/>
        <w:rPr>
          <w:rFonts w:hint="eastAsia" w:ascii="宋体" w:hAnsi="宋体" w:cs="宋体"/>
          <w:color w:val="000000"/>
          <w:highlight w:val="none"/>
        </w:rPr>
      </w:pPr>
      <w:r>
        <w:rPr>
          <w:rFonts w:hint="eastAsia" w:ascii="宋体" w:hAnsi="宋体" w:cs="宋体"/>
          <w:color w:val="000000"/>
          <w:highlight w:val="none"/>
        </w:rPr>
        <w:t xml:space="preserve">我单位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000000"/>
          <w:highlight w:val="none"/>
        </w:rPr>
      </w:pPr>
      <w:r>
        <w:rPr>
          <w:rFonts w:hint="eastAsia" w:ascii="宋体" w:hAnsi="宋体" w:cs="宋体"/>
          <w:color w:val="000000"/>
          <w:highlight w:val="none"/>
        </w:rPr>
        <w:t xml:space="preserve">主要设备有：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 若有 )</w:t>
      </w:r>
      <w:r/>
    </w:p>
    <w:p>
      <w:pPr>
        <w:ind w:firstLine="492"/>
        <w:spacing w:line="460" w:lineRule="exact"/>
        <w:rPr>
          <w:rFonts w:hint="eastAsia" w:ascii="宋体" w:hAnsi="宋体" w:cs="宋体"/>
          <w:color w:val="000000"/>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 若有 )</w:t>
      </w:r>
      <w:r/>
    </w:p>
    <w:p>
      <w:pPr>
        <w:spacing w:line="460" w:lineRule="exact"/>
        <w:rPr>
          <w:rFonts w:hint="eastAsia" w:ascii="宋体" w:hAnsi="宋体" w:cs="宋体"/>
          <w:color w:val="000000"/>
          <w:highlight w:val="none"/>
        </w:rPr>
      </w:pPr>
      <w:r>
        <w:rPr>
          <w:rFonts w:hint="eastAsia" w:ascii="宋体" w:hAnsi="宋体" w:cs="宋体"/>
          <w:color w:val="000000"/>
          <w:highlight w:val="none"/>
        </w:rPr>
      </w:r>
      <w:r/>
    </w:p>
    <w:p>
      <w:pPr>
        <w:jc w:val="right"/>
        <w:spacing w:line="460" w:lineRule="exact"/>
        <w:rPr>
          <w:rFonts w:hint="eastAsia" w:ascii="宋体" w:hAnsi="宋体" w:cs="宋体"/>
          <w:color w:val="000000"/>
          <w:highlight w:val="none"/>
        </w:rPr>
      </w:pPr>
      <w:r>
        <w:rPr>
          <w:rFonts w:hint="eastAsia" w:ascii="宋体" w:hAnsi="宋体" w:cs="宋体"/>
          <w:color w:val="000000"/>
          <w:highlight w:val="none"/>
        </w:rPr>
        <w:t xml:space="preserve">                                           声明人：（加盖电子公章）</w:t>
      </w:r>
      <w:r/>
    </w:p>
    <w:p>
      <w:pPr>
        <w:jc w:val="right"/>
        <w:spacing w:line="460" w:lineRule="exact"/>
        <w:rPr>
          <w:rFonts w:hint="eastAsia" w:ascii="宋体" w:hAnsi="宋体" w:cs="宋体"/>
          <w:color w:val="000000"/>
          <w:highlight w:val="none"/>
        </w:rPr>
      </w:pPr>
      <w:r>
        <w:rPr>
          <w:rFonts w:hint="eastAsia" w:ascii="宋体" w:hAnsi="宋体" w:cs="宋体"/>
          <w:color w:val="000000"/>
          <w:highlight w:val="none"/>
        </w:rPr>
        <w:t xml:space="preserve">    日期：          年    月    日</w:t>
      </w:r>
      <w:r/>
    </w:p>
    <w:p>
      <w:pPr>
        <w:ind w:firstLine="420"/>
        <w:jc w:val="left"/>
        <w:spacing w:line="360" w:lineRule="auto"/>
        <w:rPr>
          <w:rFonts w:ascii="宋体" w:hAnsi="宋体"/>
          <w:color w:val="000000"/>
          <w:highlight w:val="none"/>
        </w:rPr>
      </w:pPr>
      <w:r>
        <w:rPr>
          <w:rFonts w:ascii="宋体" w:hAnsi="宋体"/>
          <w:color w:val="000000"/>
          <w:highlight w:val="none"/>
        </w:rPr>
      </w:r>
      <w:r/>
    </w:p>
    <w:p>
      <w:pPr>
        <w:ind w:firstLine="420"/>
        <w:jc w:val="left"/>
        <w:spacing w:line="360" w:lineRule="auto"/>
        <w:rPr>
          <w:rFonts w:ascii="宋体" w:hAnsi="宋体"/>
          <w:color w:val="000000"/>
          <w:highlight w:val="none"/>
        </w:rPr>
      </w:pPr>
      <w:r>
        <w:rPr>
          <w:rFonts w:ascii="宋体" w:hAnsi="宋体"/>
          <w:color w:val="000000"/>
          <w:highlight w:val="none"/>
        </w:rPr>
      </w:r>
      <w:r/>
    </w:p>
    <w:p>
      <w:pPr>
        <w:ind w:firstLine="420"/>
        <w:jc w:val="left"/>
        <w:spacing w:line="360" w:lineRule="auto"/>
        <w:rPr>
          <w:rFonts w:ascii="宋体" w:hAnsi="宋体"/>
          <w:color w:val="000000"/>
          <w:highlight w:val="none"/>
        </w:rPr>
      </w:pPr>
      <w:r>
        <w:rPr>
          <w:rFonts w:ascii="宋体" w:hAnsi="宋体"/>
          <w:color w:val="000000"/>
          <w:highlight w:val="none"/>
        </w:rPr>
      </w:r>
      <w:r/>
    </w:p>
    <w:p>
      <w:pPr>
        <w:ind w:firstLine="420"/>
        <w:jc w:val="left"/>
        <w:spacing w:line="360" w:lineRule="auto"/>
        <w:rPr>
          <w:rFonts w:ascii="宋体" w:hAnsi="宋体"/>
          <w:color w:val="000000"/>
          <w:highlight w:val="none"/>
        </w:rPr>
      </w:pPr>
      <w:r>
        <w:rPr>
          <w:rFonts w:ascii="宋体" w:hAnsi="宋体"/>
          <w:color w:val="000000"/>
          <w:highlight w:val="none"/>
        </w:rPr>
      </w:r>
      <w:r/>
    </w:p>
    <w:p>
      <w:pPr>
        <w:spacing w:line="360" w:lineRule="auto"/>
        <w:rPr>
          <w:rFonts w:hint="eastAsia" w:ascii="宋体" w:hAnsi="宋体" w:cs="宋体"/>
          <w:b/>
          <w:color w:val="000000"/>
          <w:sz w:val="24"/>
          <w:szCs w:val="24"/>
          <w:highlight w:val="none"/>
        </w:rPr>
      </w:pPr>
      <w:r/>
      <w:bookmarkStart w:id="116" w:name="_Hlk40203486"/>
      <w:r>
        <w:rPr>
          <w:rFonts w:hint="eastAsia" w:ascii="宋体" w:hAnsi="宋体" w:cs="宋体"/>
          <w:b/>
          <w:color w:val="000000"/>
          <w:highlight w:val="none"/>
        </w:rPr>
        <w:t xml:space="preserve">附件十、</w:t>
      </w:r>
      <w:r>
        <w:rPr>
          <w:rFonts w:hint="eastAsia" w:ascii="宋体" w:hAnsi="宋体" w:cs="Trebuchet MS"/>
          <w:b/>
          <w:bCs/>
          <w:color w:val="000000"/>
          <w:szCs w:val="21"/>
          <w:highlight w:val="none"/>
        </w:rPr>
        <w:t xml:space="preserve">对</w:t>
      </w:r>
      <w:r>
        <w:rPr>
          <w:rFonts w:hint="eastAsia" w:ascii="宋体" w:hAnsi="宋体" w:cs="Trebuchet MS"/>
          <w:b/>
          <w:bCs/>
          <w:color w:val="000000"/>
          <w:szCs w:val="21"/>
          <w:highlight w:val="none"/>
          <w:lang w:val="zh-CN"/>
        </w:rPr>
        <w:t xml:space="preserve">第一章投标邀请中《中华人民共和国政府采购法》规定的资格条件</w:t>
      </w:r>
      <w:r>
        <w:rPr>
          <w:rFonts w:hint="eastAsia" w:ascii="宋体" w:hAnsi="宋体" w:cs="Trebuchet MS"/>
          <w:b/>
          <w:bCs/>
          <w:color w:val="000000"/>
          <w:szCs w:val="21"/>
          <w:highlight w:val="none"/>
        </w:rPr>
        <w:t xml:space="preserve">作出的书面承诺书</w:t>
      </w:r>
      <w:r/>
    </w:p>
    <w:p>
      <w:pPr>
        <w:jc w:val="center"/>
        <w:widowControl/>
        <w:rPr>
          <w:rFonts w:hint="eastAsia" w:ascii="宋体" w:hAnsi="宋体" w:cs="Trebuchet MS"/>
          <w:b/>
          <w:bCs/>
          <w:color w:val="000000"/>
          <w:sz w:val="36"/>
          <w:szCs w:val="36"/>
          <w:highlight w:val="none"/>
          <w:lang w:val="zh-CN"/>
        </w:rPr>
      </w:pPr>
      <w:r>
        <w:rPr>
          <w:rFonts w:hint="eastAsia" w:ascii="宋体" w:hAnsi="宋体" w:cs="Trebuchet MS"/>
          <w:b/>
          <w:bCs/>
          <w:color w:val="000000"/>
          <w:sz w:val="36"/>
          <w:szCs w:val="36"/>
          <w:highlight w:val="none"/>
          <w:lang w:val="zh-CN"/>
        </w:rPr>
        <w:t xml:space="preserve">南京市政府采购供应商信用记录表暨信用承诺书</w:t>
      </w:r>
      <w:r/>
    </w:p>
    <w:p>
      <w:pPr>
        <w:pStyle w:val="886"/>
        <w:rPr>
          <w:rFonts w:hint="eastAsia" w:ascii="宋体" w:hAnsi="宋体" w:cs="Trebuchet MS"/>
          <w:color w:val="000000"/>
          <w:szCs w:val="21"/>
          <w:highlight w:val="none"/>
        </w:rPr>
      </w:pPr>
      <w:r>
        <w:rPr>
          <w:rFonts w:hint="eastAsia" w:ascii="宋体" w:hAnsi="宋体" w:cs="宋体"/>
          <w:b/>
          <w:color w:val="000000"/>
          <w:szCs w:val="21"/>
          <w:highlight w:val="none"/>
        </w:rPr>
        <w:t xml:space="preserve">  </w:t>
      </w:r>
      <w:r>
        <w:rPr>
          <w:rFonts w:hint="eastAsia" w:ascii="宋体" w:hAnsi="宋体" w:cs="Trebuchet MS"/>
          <w:b/>
          <w:bCs/>
          <w:color w:val="000000"/>
          <w:szCs w:val="30"/>
          <w:highlight w:val="none"/>
        </w:rPr>
        <w:t xml:space="preserve">                                       </w:t>
      </w:r>
      <w:r>
        <w:rPr>
          <w:rFonts w:hint="eastAsia" w:ascii="宋体" w:hAnsi="宋体" w:cs="Trebuchet MS"/>
          <w:b/>
          <w:bCs/>
          <w:color w:val="000000"/>
          <w:szCs w:val="21"/>
          <w:highlight w:val="none"/>
        </w:rPr>
        <w:t xml:space="preserve">   </w:t>
      </w:r>
      <w:r>
        <w:rPr>
          <w:rFonts w:hint="eastAsia" w:ascii="宋体" w:hAnsi="宋体" w:cs="Trebuchet MS"/>
          <w:color w:val="000000"/>
          <w:szCs w:val="21"/>
          <w:highlight w:val="none"/>
        </w:rPr>
        <w:t xml:space="preserve">           20  年  月  日</w:t>
      </w:r>
      <w:r/>
    </w:p>
    <w:tbl>
      <w:tblPr>
        <w:tblStyle w:val="699"/>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54"/>
        </w:trPr>
        <w:tc>
          <w:tcPr>
            <w:tcW w:w="2210"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单位名称</w:t>
            </w:r>
            <w:r/>
          </w:p>
        </w:tc>
        <w:tc>
          <w:tcPr>
            <w:tcW w:w="2365" w:type="dxa"/>
            <w:vAlign w:val="center"/>
            <w:textDirection w:val="lrTb"/>
            <w:noWrap w:val="false"/>
          </w:tcPr>
          <w:p>
            <w:pPr>
              <w:pStyle w:val="886"/>
              <w:spacing w:line="38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2184"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统一社会信用代码</w:t>
            </w:r>
            <w:r/>
          </w:p>
        </w:tc>
        <w:tc>
          <w:tcPr>
            <w:tcW w:w="2901" w:type="dxa"/>
            <w:vAlign w:val="top"/>
            <w:textDirection w:val="lrTb"/>
            <w:noWrap w:val="false"/>
          </w:tcPr>
          <w:p>
            <w:pPr>
              <w:pStyle w:val="886"/>
              <w:spacing w:line="38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tc>
      </w:tr>
      <w:tr>
        <w:trPr>
          <w:trHeight w:val="454"/>
        </w:trPr>
        <w:tc>
          <w:tcPr>
            <w:tcW w:w="2210"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法定代表人</w:t>
            </w:r>
            <w:r/>
          </w:p>
        </w:tc>
        <w:tc>
          <w:tcPr>
            <w:tcW w:w="2365" w:type="dxa"/>
            <w:vAlign w:val="center"/>
            <w:textDirection w:val="lrTb"/>
            <w:noWrap w:val="false"/>
          </w:tcPr>
          <w:p>
            <w:pPr>
              <w:pStyle w:val="886"/>
              <w:spacing w:line="38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2184"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联系人</w:t>
            </w:r>
            <w:r/>
          </w:p>
        </w:tc>
        <w:tc>
          <w:tcPr>
            <w:tcW w:w="2901" w:type="dxa"/>
            <w:vAlign w:val="top"/>
            <w:textDirection w:val="lrTb"/>
            <w:noWrap w:val="false"/>
          </w:tcPr>
          <w:p>
            <w:pPr>
              <w:pStyle w:val="886"/>
              <w:spacing w:line="38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tc>
      </w:tr>
      <w:tr>
        <w:trPr>
          <w:trHeight w:val="454"/>
        </w:trPr>
        <w:tc>
          <w:tcPr>
            <w:tcW w:w="2210"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联系地址</w:t>
            </w:r>
            <w:r/>
          </w:p>
        </w:tc>
        <w:tc>
          <w:tcPr>
            <w:tcW w:w="2365" w:type="dxa"/>
            <w:vAlign w:val="center"/>
            <w:textDirection w:val="lrTb"/>
            <w:noWrap w:val="false"/>
          </w:tcPr>
          <w:p>
            <w:pPr>
              <w:pStyle w:val="886"/>
              <w:spacing w:line="38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tc>
        <w:tc>
          <w:tcPr>
            <w:tcW w:w="2184"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p>
        </w:tc>
        <w:tc>
          <w:tcPr>
            <w:tcW w:w="2901" w:type="dxa"/>
            <w:vAlign w:val="top"/>
            <w:textDirection w:val="lrTb"/>
            <w:noWrap w:val="false"/>
          </w:tcPr>
          <w:p>
            <w:pPr>
              <w:pStyle w:val="886"/>
              <w:spacing w:line="38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tc>
      </w:tr>
      <w:tr>
        <w:trPr>
          <w:trHeight w:val="454"/>
        </w:trPr>
        <w:tc>
          <w:tcPr>
            <w:tcW w:w="2210"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诚信档案记录情况</w:t>
            </w:r>
            <w:r/>
          </w:p>
        </w:tc>
        <w:tc>
          <w:tcPr>
            <w:gridSpan w:val="3"/>
            <w:tcW w:w="7450" w:type="dxa"/>
            <w:vAlign w:val="top"/>
            <w:textDirection w:val="lrTb"/>
            <w:noWrap w:val="false"/>
          </w:tcPr>
          <w:p>
            <w:pPr>
              <w:pStyle w:val="886"/>
              <w:spacing w:line="38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tc>
      </w:tr>
      <w:tr>
        <w:trPr>
          <w:trHeight w:val="5505"/>
        </w:trPr>
        <w:tc>
          <w:tcPr>
            <w:tcW w:w="2210" w:type="dxa"/>
            <w:vAlign w:val="center"/>
            <w:textDirection w:val="lrTb"/>
            <w:noWrap w:val="false"/>
          </w:tcPr>
          <w:p>
            <w:pPr>
              <w:pStyle w:val="886"/>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信用承诺</w:t>
            </w:r>
            <w:r/>
          </w:p>
        </w:tc>
        <w:tc>
          <w:tcPr>
            <w:gridSpan w:val="3"/>
            <w:tcW w:w="7450" w:type="dxa"/>
            <w:vAlign w:val="top"/>
            <w:textDirection w:val="lrTb"/>
            <w:noWrap w:val="false"/>
          </w:tcPr>
          <w:p>
            <w:pPr>
              <w:pStyle w:val="886"/>
              <w:ind w:firstLine="420"/>
              <w:spacing w:line="380" w:lineRule="exact"/>
              <w:rPr>
                <w:rFonts w:hint="eastAsia" w:ascii="宋体" w:hAnsi="宋体" w:cs="Trebuchet MS"/>
                <w:color w:val="000000"/>
                <w:szCs w:val="21"/>
                <w:highlight w:val="none"/>
                <w:lang w:val="zh-CN"/>
              </w:rPr>
            </w:pPr>
            <w:r>
              <w:rPr>
                <w:rFonts w:hint="eastAsia" w:ascii="宋体" w:hAnsi="宋体" w:cs="Trebuchet MS"/>
                <w:color w:val="000000"/>
                <w:szCs w:val="21"/>
                <w:highlight w:val="none"/>
                <w:lang w:val="zh-CN"/>
              </w:rPr>
              <w:t xml:space="preserve">我公司自愿参加贵中心(公司)组织的本次采购活动，严格遵守《中华人民共和国政府采购法》及相关</w:t>
            </w:r>
            <w:r>
              <w:rPr>
                <w:rFonts w:hint="eastAsia" w:ascii="宋体" w:hAnsi="宋体" w:cs="Trebuchet MS"/>
                <w:color w:val="000000"/>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886"/>
              <w:spacing w:line="380" w:lineRule="exact"/>
              <w:rPr>
                <w:rFonts w:hint="eastAsia" w:ascii="宋体" w:hAnsi="宋体" w:cs="Trebuchet MS"/>
                <w:color w:val="000000"/>
                <w:szCs w:val="21"/>
                <w:highlight w:val="none"/>
                <w:lang w:val="zh-CN"/>
              </w:rPr>
            </w:pPr>
            <w:r>
              <w:rPr>
                <w:rFonts w:hint="eastAsia" w:ascii="宋体" w:hAnsi="宋体" w:cs="Trebuchet MS"/>
                <w:color w:val="000000"/>
                <w:szCs w:val="21"/>
                <w:highlight w:val="none"/>
                <w:lang w:val="zh-CN"/>
              </w:rPr>
            </w:r>
            <w:r/>
          </w:p>
          <w:p>
            <w:pPr>
              <w:pStyle w:val="886"/>
              <w:ind w:firstLine="3360"/>
              <w:spacing w:line="380" w:lineRule="exact"/>
              <w:rPr>
                <w:rFonts w:hint="eastAsia" w:ascii="宋体" w:hAnsi="宋体" w:cs="Trebuchet MS"/>
                <w:color w:val="000000"/>
                <w:szCs w:val="21"/>
                <w:highlight w:val="none"/>
                <w:lang w:val="zh-CN"/>
              </w:rPr>
            </w:pPr>
            <w:r>
              <w:rPr>
                <w:rFonts w:hint="eastAsia" w:ascii="宋体" w:hAnsi="宋体" w:cs="Trebuchet MS"/>
                <w:color w:val="000000"/>
                <w:szCs w:val="21"/>
                <w:highlight w:val="none"/>
                <w:lang w:val="zh-CN"/>
              </w:rPr>
              <w:t xml:space="preserve">供应商名称(</w:t>
            </w:r>
            <w:r>
              <w:rPr>
                <w:rFonts w:hint="eastAsia" w:ascii="宋体" w:hAnsi="宋体" w:cs="Trebuchet MS"/>
                <w:color w:val="000000"/>
                <w:szCs w:val="21"/>
                <w:highlight w:val="none"/>
              </w:rPr>
              <w:t xml:space="preserve">加盖电子公章</w:t>
            </w:r>
            <w:r>
              <w:rPr>
                <w:rFonts w:hint="eastAsia" w:ascii="宋体" w:hAnsi="宋体" w:cs="Trebuchet MS"/>
                <w:color w:val="000000"/>
                <w:szCs w:val="21"/>
                <w:highlight w:val="none"/>
                <w:lang w:val="zh-CN"/>
              </w:rPr>
              <w:t xml:space="preserve">):</w:t>
            </w:r>
            <w:r/>
          </w:p>
          <w:p>
            <w:pPr>
              <w:pStyle w:val="886"/>
              <w:ind w:firstLine="3360"/>
              <w:spacing w:line="380" w:lineRule="exact"/>
              <w:rPr>
                <w:rFonts w:hint="eastAsia" w:ascii="宋体" w:hAnsi="宋体" w:cs="Trebuchet MS"/>
                <w:color w:val="000000"/>
                <w:szCs w:val="21"/>
                <w:highlight w:val="none"/>
                <w:lang w:val="zh-CN"/>
              </w:rPr>
            </w:pPr>
            <w:r>
              <w:rPr>
                <w:rFonts w:hint="eastAsia" w:ascii="宋体" w:hAnsi="宋体" w:cs="Trebuchet MS"/>
                <w:color w:val="000000"/>
                <w:szCs w:val="21"/>
                <w:highlight w:val="none"/>
                <w:lang w:val="zh-CN"/>
              </w:rPr>
              <w:t xml:space="preserve">法定代表人(签字) :</w:t>
            </w:r>
            <w:r/>
          </w:p>
          <w:p>
            <w:pPr>
              <w:pStyle w:val="886"/>
              <w:ind w:firstLine="3360"/>
              <w:spacing w:line="380" w:lineRule="exact"/>
              <w:rPr>
                <w:rFonts w:hint="eastAsia" w:ascii="宋体" w:hAnsi="宋体" w:cs="Trebuchet MS"/>
                <w:color w:val="000000"/>
                <w:szCs w:val="21"/>
                <w:highlight w:val="none"/>
                <w:lang w:val="zh-CN"/>
              </w:rPr>
            </w:pPr>
            <w:r>
              <w:rPr>
                <w:rFonts w:hint="eastAsia" w:ascii="宋体" w:hAnsi="宋体" w:cs="Trebuchet MS"/>
                <w:color w:val="000000"/>
                <w:szCs w:val="21"/>
                <w:highlight w:val="none"/>
                <w:lang w:val="zh-CN"/>
              </w:rPr>
              <w:t xml:space="preserve">二</w:t>
            </w:r>
            <w:r>
              <w:rPr>
                <w:rFonts w:hint="eastAsia" w:ascii="宋体" w:hAnsi="宋体" w:cs="Trebuchet MS"/>
                <w:color w:val="000000"/>
                <w:szCs w:val="21"/>
                <w:highlight w:val="none"/>
              </w:rPr>
              <w:t xml:space="preserve">〇  </w:t>
            </w:r>
            <w:r>
              <w:rPr>
                <w:rFonts w:hint="eastAsia" w:ascii="宋体" w:hAnsi="宋体" w:cs="Trebuchet MS"/>
                <w:color w:val="000000"/>
                <w:szCs w:val="21"/>
                <w:highlight w:val="none"/>
                <w:lang w:val="zh-CN"/>
              </w:rPr>
              <w:t xml:space="preserve">年</w:t>
            </w:r>
            <w:r>
              <w:rPr>
                <w:rFonts w:hint="eastAsia" w:ascii="宋体" w:hAnsi="宋体" w:cs="Trebuchet MS"/>
                <w:color w:val="000000"/>
                <w:szCs w:val="21"/>
                <w:highlight w:val="none"/>
              </w:rPr>
              <w:t xml:space="preserve">  </w:t>
            </w:r>
            <w:r>
              <w:rPr>
                <w:rFonts w:hint="eastAsia" w:ascii="宋体" w:hAnsi="宋体" w:cs="Trebuchet MS"/>
                <w:color w:val="000000"/>
                <w:szCs w:val="21"/>
                <w:highlight w:val="none"/>
                <w:lang w:val="zh-CN"/>
              </w:rPr>
              <w:t xml:space="preserve">月</w:t>
            </w:r>
            <w:r>
              <w:rPr>
                <w:rFonts w:hint="eastAsia" w:ascii="宋体" w:hAnsi="宋体" w:cs="Trebuchet MS"/>
                <w:color w:val="000000"/>
                <w:szCs w:val="21"/>
                <w:highlight w:val="none"/>
              </w:rPr>
              <w:t xml:space="preserve">  </w:t>
            </w:r>
            <w:r>
              <w:rPr>
                <w:rFonts w:hint="eastAsia" w:ascii="宋体" w:hAnsi="宋体" w:cs="Trebuchet MS"/>
                <w:color w:val="000000"/>
                <w:szCs w:val="21"/>
                <w:highlight w:val="none"/>
                <w:lang w:val="zh-CN"/>
              </w:rPr>
              <w:t xml:space="preserve">日</w:t>
            </w:r>
            <w:r/>
          </w:p>
        </w:tc>
      </w:tr>
    </w:tbl>
    <w:p>
      <w:pPr>
        <w:pStyle w:val="886"/>
        <w:spacing w:line="460" w:lineRule="exact"/>
        <w:rPr>
          <w:rFonts w:hint="eastAsia" w:ascii="宋体" w:hAnsi="宋体" w:cs="Trebuchet MS"/>
          <w:color w:val="000000"/>
          <w:szCs w:val="21"/>
          <w:highlight w:val="none"/>
        </w:rPr>
      </w:pPr>
      <w:r>
        <w:rPr>
          <w:rFonts w:hint="eastAsia" w:ascii="宋体" w:hAnsi="宋体" w:cs="Trebuchet MS"/>
          <w:b/>
          <w:bCs/>
          <w:color w:val="000000"/>
          <w:szCs w:val="21"/>
          <w:highlight w:val="none"/>
        </w:rPr>
        <w:t xml:space="preserve">说明</w:t>
      </w:r>
      <w:r>
        <w:rPr>
          <w:rFonts w:hint="eastAsia" w:ascii="宋体" w:hAnsi="宋体" w:cs="Trebuchet MS"/>
          <w:color w:val="000000"/>
          <w:szCs w:val="21"/>
          <w:highlight w:val="none"/>
        </w:rPr>
        <w:t xml:space="preserve">：</w:t>
      </w:r>
      <w:r/>
    </w:p>
    <w:p>
      <w:pPr>
        <w:pStyle w:val="886"/>
        <w:ind w:firstLine="420"/>
        <w:spacing w:line="400" w:lineRule="exact"/>
        <w:rPr>
          <w:rFonts w:hint="eastAsia" w:ascii="宋体" w:hAnsi="宋体" w:cs="Trebuchet MS"/>
          <w:color w:val="000000"/>
          <w:szCs w:val="21"/>
          <w:highlight w:val="none"/>
        </w:rPr>
      </w:pPr>
      <w:r>
        <w:rPr>
          <w:rFonts w:hint="eastAsia" w:ascii="宋体" w:hAnsi="宋体" w:cs="Trebuchet MS"/>
          <w:color w:val="000000"/>
          <w:szCs w:val="21"/>
          <w:highlight w:val="none"/>
        </w:rPr>
        <w:t xml:space="preserve">1、不适用信用承诺的情形</w:t>
      </w:r>
      <w:r/>
    </w:p>
    <w:p>
      <w:pPr>
        <w:pStyle w:val="886"/>
        <w:ind w:firstLine="420"/>
        <w:spacing w:line="400" w:lineRule="exact"/>
        <w:rPr>
          <w:rFonts w:hint="eastAsia" w:ascii="宋体" w:hAnsi="宋体" w:cs="Trebuchet MS"/>
          <w:color w:val="000000"/>
          <w:szCs w:val="21"/>
          <w:highlight w:val="none"/>
        </w:rPr>
      </w:pPr>
      <w:r>
        <w:rPr>
          <w:rFonts w:hint="eastAsia" w:ascii="宋体" w:hAnsi="宋体" w:cs="Trebuchet MS"/>
          <w:color w:val="000000"/>
          <w:szCs w:val="21"/>
          <w:highlight w:val="none"/>
        </w:rPr>
        <w:t xml:space="preserve">（1）供应商被列入严重失信主体名单；（2）南京市政府采购供应商诚信档案管理系统中诚信档案分在40分以下；（3）被相关监管部门作出行政处罚且尚在处罚有效期内；（4）其他法律、行政法规规定的不适用信用承诺的情形。</w:t>
      </w:r>
      <w:r/>
    </w:p>
    <w:p>
      <w:pPr>
        <w:pStyle w:val="886"/>
        <w:ind w:firstLine="420"/>
        <w:spacing w:line="400" w:lineRule="exact"/>
        <w:rPr>
          <w:rFonts w:hint="eastAsia" w:ascii="宋体" w:hAnsi="宋体" w:cs="Trebuchet MS"/>
          <w:color w:val="000000"/>
          <w:szCs w:val="21"/>
          <w:highlight w:val="none"/>
        </w:rPr>
      </w:pPr>
      <w:r>
        <w:rPr>
          <w:rFonts w:hint="eastAsia" w:ascii="宋体" w:hAnsi="宋体" w:cs="Trebuchet MS"/>
          <w:color w:val="000000"/>
          <w:szCs w:val="21"/>
          <w:highlight w:val="none"/>
        </w:rPr>
        <w:t xml:space="preserve">2、违反信用承诺的法律责任</w:t>
      </w:r>
      <w:r/>
    </w:p>
    <w:p>
      <w:pPr>
        <w:pStyle w:val="886"/>
        <w:ind w:firstLine="420"/>
        <w:spacing w:line="400" w:lineRule="exact"/>
        <w:rPr>
          <w:rFonts w:hint="eastAsia" w:ascii="宋体" w:hAnsi="宋体" w:cs="Trebuchet MS"/>
          <w:color w:val="000000"/>
          <w:szCs w:val="21"/>
          <w:highlight w:val="none"/>
        </w:rPr>
      </w:pPr>
      <w:r>
        <w:rPr>
          <w:rFonts w:hint="eastAsia" w:ascii="宋体" w:hAnsi="宋体" w:cs="Trebuchet MS"/>
          <w:color w:val="000000"/>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left"/>
        <w:spacing w:line="460" w:lineRule="exact"/>
        <w:rPr>
          <w:rFonts w:ascii="宋体" w:hAnsi="宋体" w:cs="宋体"/>
          <w:color w:val="000000"/>
          <w:spacing w:val="15"/>
          <w:szCs w:val="21"/>
          <w:highlight w:val="none"/>
          <w:u w:val="single"/>
        </w:rPr>
      </w:pPr>
      <w:r>
        <w:rPr>
          <w:rFonts w:hint="eastAsia" w:ascii="宋体" w:hAnsi="宋体" w:cs="宋体"/>
          <w:b/>
          <w:color w:val="000000"/>
          <w:spacing w:val="15"/>
          <w:szCs w:val="21"/>
          <w:highlight w:val="none"/>
        </w:rPr>
        <w:br w:type="page" w:clear="all"/>
      </w:r>
      <w:bookmarkEnd w:id="116"/>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一</w:t>
      </w:r>
      <w:r>
        <w:rPr>
          <w:rFonts w:hint="eastAsia" w:ascii="宋体" w:hAnsi="宋体" w:cs="宋体"/>
          <w:b/>
          <w:color w:val="000000"/>
          <w:spacing w:val="15"/>
          <w:szCs w:val="21"/>
          <w:highlight w:val="none"/>
        </w:rPr>
        <w:t xml:space="preserve">、供应商认为需提供的其他资料</w:t>
      </w:r>
      <w:r/>
    </w:p>
    <w:p>
      <w:pPr>
        <w:pStyle w:val="973"/>
        <w:ind w:left="298" w:hanging="298"/>
        <w:rPr>
          <w:rFonts w:ascii="宋体" w:hAnsi="宋体" w:eastAsia="宋体"/>
          <w:color w:val="000000"/>
          <w:highlight w:val="none"/>
        </w:rPr>
      </w:pPr>
      <w:r>
        <w:rPr>
          <w:rFonts w:ascii="宋体" w:hAnsi="宋体" w:cs="宋体"/>
          <w:b/>
          <w:color w:val="000000"/>
          <w:spacing w:val="15"/>
          <w:szCs w:val="21"/>
          <w:highlight w:val="none"/>
        </w:rPr>
        <w:br w:type="page" w:clear="all"/>
      </w:r>
      <w:bookmarkStart w:id="117" w:name="_Toc31028"/>
      <w:r>
        <w:rPr>
          <w:rFonts w:ascii="宋体" w:hAnsi="宋体" w:eastAsia="宋体" w:cs="宋体"/>
          <w:b/>
          <w:color w:val="000000"/>
          <w:sz w:val="36"/>
          <w:szCs w:val="36"/>
          <w:highlight w:val="none"/>
        </w:rPr>
        <w:t xml:space="preserve">第七章 供应商中标后需要提交核验的资料</w:t>
      </w:r>
      <w:bookmarkEnd w:id="117"/>
      <w:r/>
      <w:r/>
    </w:p>
    <w:p>
      <w:pPr>
        <w:pStyle w:val="972"/>
        <w:ind w:left="-178" w:firstLine="420"/>
        <w:spacing w:before="78" w:line="460" w:lineRule="exact"/>
        <w:rPr>
          <w:rFonts w:ascii="宋体" w:hAnsi="宋体" w:eastAsia="宋体"/>
          <w:color w:val="000000"/>
          <w:highlight w:val="none"/>
        </w:rPr>
      </w:pPr>
      <w:r>
        <w:rPr>
          <w:rFonts w:hint="eastAsia" w:ascii="宋体" w:hAnsi="宋体" w:eastAsia="宋体"/>
          <w:color w:val="000000"/>
          <w:highlight w:val="none"/>
        </w:rPr>
        <w:t xml:space="preserve">一、</w:t>
      </w:r>
      <w:r>
        <w:rPr>
          <w:rFonts w:ascii="宋体" w:hAnsi="宋体" w:eastAsia="宋体"/>
          <w:color w:val="000000"/>
          <w:highlight w:val="none"/>
        </w:rPr>
        <w:t xml:space="preserve">具有独立承担民事责任的能力（提供法人或者其他组织的营业执照）；</w:t>
      </w:r>
      <w:r/>
    </w:p>
    <w:p>
      <w:pPr>
        <w:pStyle w:val="972"/>
        <w:ind w:left="-178" w:firstLine="420"/>
        <w:spacing w:before="78" w:line="460" w:lineRule="exact"/>
        <w:rPr>
          <w:rFonts w:ascii="宋体" w:hAnsi="宋体" w:eastAsia="宋体"/>
          <w:color w:val="000000"/>
          <w:highlight w:val="none"/>
        </w:rPr>
      </w:pPr>
      <w:r>
        <w:rPr>
          <w:rFonts w:ascii="宋体" w:hAnsi="宋体" w:eastAsia="宋体"/>
          <w:color w:val="000000"/>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972"/>
        <w:ind w:left="-178" w:firstLine="420"/>
        <w:spacing w:before="78" w:line="460" w:lineRule="exact"/>
        <w:rPr>
          <w:rFonts w:ascii="宋体" w:hAnsi="宋体" w:eastAsia="宋体"/>
          <w:color w:val="000000"/>
          <w:highlight w:val="none"/>
        </w:rPr>
      </w:pPr>
      <w:r>
        <w:rPr>
          <w:rFonts w:ascii="宋体" w:hAnsi="宋体" w:eastAsia="宋体"/>
          <w:color w:val="000000"/>
          <w:highlight w:val="none"/>
        </w:rPr>
        <w:t xml:space="preserve">三、具有履行合同所必需的设备和专业技术能力（供应商根据履行采购项目合同需要，提供履行合同所必需的设备和专业技术能力的证明材料）；</w:t>
      </w:r>
      <w:r/>
    </w:p>
    <w:p>
      <w:pPr>
        <w:pStyle w:val="972"/>
        <w:ind w:left="-178" w:firstLine="420"/>
        <w:spacing w:before="78" w:line="460" w:lineRule="exact"/>
        <w:rPr>
          <w:rFonts w:ascii="宋体" w:hAnsi="宋体" w:eastAsia="宋体"/>
          <w:color w:val="000000"/>
          <w:highlight w:val="none"/>
        </w:rPr>
      </w:pPr>
      <w:r>
        <w:rPr>
          <w:rFonts w:ascii="宋体" w:hAnsi="宋体" w:eastAsia="宋体"/>
          <w:color w:val="000000"/>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972"/>
        <w:ind w:left="-178" w:firstLine="420"/>
        <w:spacing w:before="78" w:line="460" w:lineRule="exact"/>
        <w:rPr>
          <w:rFonts w:ascii="宋体" w:hAnsi="宋体" w:eastAsia="宋体"/>
          <w:color w:val="000000"/>
          <w:highlight w:val="none"/>
        </w:rPr>
      </w:pPr>
      <w:r>
        <w:rPr>
          <w:rFonts w:ascii="宋体" w:hAnsi="宋体" w:eastAsia="宋体"/>
          <w:color w:val="000000"/>
          <w:highlight w:val="none"/>
        </w:rPr>
        <w:t xml:space="preserve">五、参加政府采购活动前三年内，在经营活动中没有重大违法记录（提供书面声明或承诺书）</w:t>
      </w:r>
      <w:r>
        <w:rPr>
          <w:rFonts w:hint="eastAsia" w:ascii="宋体" w:hAnsi="宋体" w:eastAsia="宋体"/>
          <w:color w:val="000000"/>
          <w:highlight w:val="none"/>
        </w:rPr>
        <w:t xml:space="preserve">。</w:t>
      </w:r>
      <w:r>
        <w:rPr>
          <w:rFonts w:ascii="宋体" w:hAnsi="宋体" w:eastAsia="宋体"/>
          <w:color w:val="000000"/>
          <w:highlight w:val="none"/>
        </w:rPr>
        <w:br w:type="textWrapping" w:clear="all"/>
      </w:r>
      <w:r>
        <w:rPr>
          <w:rFonts w:ascii="宋体" w:hAnsi="宋体" w:eastAsia="宋体"/>
          <w:color w:val="000000"/>
          <w:highlight w:val="none"/>
        </w:rPr>
        <w:br w:type="textWrapping" w:clear="all"/>
      </w:r>
      <w:r>
        <w:rPr>
          <w:rFonts w:ascii="宋体" w:hAnsi="宋体" w:eastAsia="宋体"/>
          <w:color w:val="000000"/>
          <w:highlight w:val="none"/>
        </w:rPr>
        <w:t xml:space="preserve">注：</w:t>
      </w:r>
      <w:r/>
    </w:p>
    <w:p>
      <w:pPr>
        <w:pStyle w:val="972"/>
        <w:ind w:left="-178" w:firstLine="420"/>
        <w:spacing w:before="78" w:line="460" w:lineRule="exact"/>
        <w:rPr>
          <w:rFonts w:ascii="宋体" w:hAnsi="宋体" w:eastAsia="宋体"/>
          <w:color w:val="000000"/>
          <w:highlight w:val="none"/>
        </w:rPr>
      </w:pPr>
      <w:r>
        <w:rPr>
          <w:rFonts w:hint="eastAsia" w:ascii="宋体" w:hAnsi="宋体" w:eastAsia="宋体"/>
          <w:color w:val="000000"/>
          <w:highlight w:val="none"/>
        </w:rPr>
        <w:t xml:space="preserve">1</w:t>
      </w:r>
      <w:r>
        <w:rPr>
          <w:rFonts w:ascii="宋体" w:hAnsi="宋体" w:eastAsia="宋体"/>
          <w:color w:val="000000"/>
          <w:highlight w:val="none"/>
        </w:rPr>
        <w:t xml:space="preserve">.以上资料如</w:t>
      </w:r>
      <w:r>
        <w:rPr>
          <w:rFonts w:hint="eastAsia" w:ascii="宋体" w:hAnsi="宋体" w:eastAsia="宋体"/>
          <w:color w:val="000000"/>
          <w:highlight w:val="none"/>
        </w:rPr>
        <w:t xml:space="preserve">电子投标</w:t>
      </w:r>
      <w:r>
        <w:rPr>
          <w:rFonts w:ascii="宋体" w:hAnsi="宋体" w:eastAsia="宋体"/>
          <w:color w:val="000000"/>
          <w:highlight w:val="none"/>
        </w:rPr>
        <w:t xml:space="preserve">文件中已提供的无需再提供</w:t>
      </w:r>
      <w:r>
        <w:rPr>
          <w:rFonts w:hint="eastAsia" w:ascii="宋体" w:hAnsi="宋体" w:eastAsia="宋体"/>
          <w:color w:val="000000"/>
          <w:highlight w:val="none"/>
        </w:rPr>
        <w:t xml:space="preserve">。</w:t>
      </w:r>
      <w:r/>
    </w:p>
    <w:p>
      <w:pPr>
        <w:pStyle w:val="972"/>
        <w:ind w:left="-178" w:firstLine="420"/>
        <w:spacing w:before="78" w:line="460" w:lineRule="exact"/>
        <w:rPr>
          <w:rFonts w:ascii="宋体" w:hAnsi="宋体" w:eastAsia="宋体"/>
          <w:color w:val="000000"/>
          <w:highlight w:val="none"/>
        </w:rPr>
      </w:pPr>
      <w:r>
        <w:rPr>
          <w:rFonts w:hint="eastAsia" w:ascii="宋体" w:hAnsi="宋体" w:eastAsia="宋体"/>
          <w:color w:val="000000"/>
          <w:highlight w:val="none"/>
        </w:rPr>
        <w:t xml:space="preserve">2</w:t>
      </w:r>
      <w:r>
        <w:rPr>
          <w:rFonts w:ascii="宋体" w:hAnsi="宋体" w:eastAsia="宋体"/>
          <w:color w:val="000000"/>
          <w:highlight w:val="none"/>
        </w:rPr>
        <w:t xml:space="preserve">.</w:t>
      </w:r>
      <w:r>
        <w:rPr>
          <w:rFonts w:hint="eastAsia" w:ascii="宋体" w:hAnsi="宋体" w:eastAsia="宋体"/>
          <w:color w:val="000000"/>
          <w:highlight w:val="none"/>
        </w:rPr>
        <w:t xml:space="preserve">投标文件（纸质份数）：中标供应商须在领取中标通知书前提供肆份通过专用投标工具软件打印的纸质投标文件并逐页加盖单位公章。</w:t>
      </w:r>
      <w:r/>
    </w:p>
    <w:sectPr>
      <w:footnotePr/>
      <w:endnotePr/>
      <w:type w:val="nextPage"/>
      <w:pgSz w:w="11906" w:h="16838" w:orient="portrait"/>
      <w:pgMar w:top="1417" w:right="1134" w:bottom="1247"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ˎ̥">
    <w:panose1 w:val="020B0503020202020204"/>
  </w:font>
  <w:font w:name="方正仿宋简体">
    <w:panose1 w:val="020B0503020202020204"/>
  </w:font>
  <w:font w:name="Tahoma">
    <w:panose1 w:val="020B0604030504040204"/>
  </w:font>
  <w:font w:name="Trebuchet MS">
    <w:panose1 w:val="020B0603020202020204"/>
  </w:font>
  <w:font w:name="Wingdings">
    <w:panose1 w:val="05000000000000000000"/>
  </w:font>
  <w:font w:name="Symbol">
    <w:panose1 w:val="05050102010706020507"/>
  </w:font>
  <w:font w:name="Courier New">
    <w:panose1 w:val="02070309020205020404"/>
  </w:font>
  <w:font w:name="MS Gothic">
    <w:panose1 w:val="020B0609070205080204"/>
  </w:font>
  <w:font w:name="Plotter">
    <w:panose1 w:val="020B0503020202020204"/>
  </w:font>
  <w:font w:name="Cambria">
    <w:panose1 w:val="02040503050406030204"/>
  </w:font>
  <w:font w:name="仿宋_GB2312">
    <w:panose1 w:val="02010609060101010101"/>
  </w:font>
  <w:font w:name="黑体">
    <w:panose1 w:val="02010609060101010101"/>
  </w:font>
  <w:font w:name="等线 Light">
    <w:panose1 w:val="02010600030101010101"/>
  </w:font>
  <w:font w:name="仿宋">
    <w:panose1 w:val="02010609060101010101"/>
  </w:font>
  <w:font w:name="等线">
    <w:panose1 w:val="02010600030101010101"/>
  </w:font>
  <w:font w:name="Arial Unicode MS">
    <w:panose1 w:val="020B0604020202020204"/>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73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240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2405" cy="147955"/>
                      </a:xfrm>
                      <a:prstGeom prst="rect">
                        <a:avLst/>
                      </a:prstGeom>
                      <a:noFill/>
                      <a:ln>
                        <a:noFill/>
                      </a:ln>
                    </wps:spPr>
                    <wps:txbx>
                      <w:txbxContent>
                        <w:p>
                          <w:pPr>
                            <w:pStyle w:val="89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5.1pt;height:11.6pt;mso-wrap-distance-left:9.0pt;mso-wrap-distance-top:0.0pt;mso-wrap-distance-right:9.0pt;mso-wrap-distance-bottom:0.0pt;visibility:visible;" filled="f" stroked="f">
              <v:textbox inset="0,0,0,0">
                <w:txbxContent>
                  <w:p>
                    <w:pPr>
                      <w:pStyle w:val="89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1930"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01930" cy="147955"/>
                      </a:xfrm>
                      <a:prstGeom prst="rect">
                        <a:avLst/>
                      </a:prstGeom>
                      <a:noFill/>
                      <a:ln>
                        <a:noFill/>
                      </a:ln>
                    </wps:spPr>
                    <wps:txbx>
                      <w:txbxContent>
                        <w:p>
                          <w:pPr>
                            <w:pStyle w:val="899"/>
                            <w:tabs>
                              <w:tab w:val="clear" w:pos="4153" w:leader="none"/>
                              <w:tab w:val="clear" w:pos="8306" w:leader="none"/>
                            </w:tabs>
                          </w:p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5.9pt;height:11.6pt;mso-wrap-distance-left:9.0pt;mso-wrap-distance-top:0.0pt;mso-wrap-distance-right:9.0pt;mso-wrap-distance-bottom:0.0pt;visibility:visible;" filled="f" stroked="f">
              <v:textbox inset="0,0,0,0">
                <w:txbxContent>
                  <w:p>
                    <w:pPr>
                      <w:pStyle w:val="899"/>
                      <w:tabs>
                        <w:tab w:val="clear" w:pos="4153" w:leader="none"/>
                        <w:tab w:val="clear" w:pos="8306" w:leader="none"/>
                      </w:tabs>
                    </w:pPr>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szCs w:val="56"/>
        <w:u w:val="single"/>
      </w:rPr>
      <w:pBdr>
        <w:bottom w:val="none" w:color="000000" w:sz="0" w:space="0"/>
      </w:pBdr>
    </w:pPr>
    <w:r>
      <w:rPr>
        <w:szCs w:val="56"/>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一、"/>
      <w:lvlJc w:val="left"/>
      <w:pPr>
        <w:ind w:left="456" w:hanging="4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74"/>
    <w:uiPriority w:val="0"/>
    <w:qFormat/>
    <w:pPr>
      <w:jc w:val="both"/>
      <w:widowControl w:val="off"/>
    </w:pPr>
    <w:rPr>
      <w:rFonts w:hint="default" w:ascii="Calibri" w:hAnsi="Calibri" w:eastAsia="宋体" w:cs="Times New Roman"/>
      <w:sz w:val="21"/>
      <w:szCs w:val="22"/>
      <w:lang w:val="en-US" w:eastAsia="zh-CN" w:bidi="ar-SA"/>
    </w:rPr>
  </w:style>
  <w:style w:type="paragraph" w:styleId="689">
    <w:name w:val="Heading 1"/>
    <w:basedOn w:val="688"/>
    <w:next w:val="688"/>
    <w:link w:val="72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5"/>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2"/>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首行缩进 21"/>
    <w:basedOn w:val="701"/>
    <w:next w:val="688"/>
    <w:uiPriority w:val="99"/>
    <w:qFormat/>
    <w:pPr>
      <w:ind w:left="0" w:firstLine="420"/>
      <w:jc w:val="left"/>
      <w:spacing w:after="0" w:line="360" w:lineRule="auto"/>
    </w:pPr>
    <w:rPr>
      <w:rFonts w:ascii="宋体" w:hAnsi="宋体" w:eastAsia="宋体" w:cs="宋体"/>
      <w:sz w:val="20"/>
      <w:szCs w:val="20"/>
      <w:lang w:val="zh-CN" w:bidi="zh-CN"/>
    </w:rPr>
  </w:style>
  <w:style w:type="paragraph" w:styleId="701" w:customStyle="1">
    <w:name w:val="正文文本缩进1"/>
    <w:basedOn w:val="688"/>
    <w:next w:val="702"/>
    <w:link w:val="878"/>
    <w:uiPriority w:val="0"/>
    <w:unhideWhenUsed/>
    <w:qFormat/>
    <w:pPr>
      <w:ind w:firstLine="420"/>
      <w:spacing w:line="360" w:lineRule="auto"/>
    </w:pPr>
    <w:rPr>
      <w:rFonts w:ascii="宋体" w:hAnsi="Times New Roman"/>
      <w:sz w:val="24"/>
      <w:szCs w:val="20"/>
    </w:rPr>
  </w:style>
  <w:style w:type="paragraph" w:styleId="702" w:customStyle="1">
    <w:name w:val="寄信人地址1"/>
    <w:basedOn w:val="688"/>
    <w:uiPriority w:val="99"/>
    <w:unhideWhenUsed/>
    <w:qFormat/>
    <w:rPr>
      <w:rFonts w:ascii="Arial" w:hAnsi="Arial" w:cs="Arial"/>
    </w:r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semiHidden/>
    <w:unhideWhenUsed/>
    <w:qFormat/>
    <w:pPr>
      <w:spacing w:line="276" w:lineRule="auto"/>
    </w:pPr>
    <w:rPr>
      <w:b/>
      <w:bCs/>
      <w:color w:val="4f81bd" w:themeColor="accent1"/>
      <w:sz w:val="18"/>
      <w:szCs w:val="18"/>
    </w:rPr>
  </w:style>
  <w:style w:type="paragraph" w:styleId="705">
    <w:name w:val="toc 5"/>
    <w:basedOn w:val="688"/>
    <w:next w:val="688"/>
    <w:uiPriority w:val="39"/>
    <w:unhideWhenUsed/>
    <w:qFormat/>
    <w:pPr>
      <w:ind w:left="1134" w:right="0" w:firstLine="0"/>
      <w:spacing w:after="57"/>
    </w:pPr>
  </w:style>
  <w:style w:type="paragraph" w:styleId="706">
    <w:name w:val="toc 3"/>
    <w:basedOn w:val="688"/>
    <w:next w:val="688"/>
    <w:uiPriority w:val="39"/>
    <w:unhideWhenUsed/>
    <w:qFormat/>
    <w:pPr>
      <w:ind w:left="567" w:right="0" w:firstLine="0"/>
      <w:spacing w:after="57"/>
    </w:pPr>
  </w:style>
  <w:style w:type="paragraph" w:styleId="707">
    <w:name w:val="toc 8"/>
    <w:basedOn w:val="688"/>
    <w:next w:val="688"/>
    <w:uiPriority w:val="39"/>
    <w:unhideWhenUsed/>
    <w:qFormat/>
    <w:pPr>
      <w:ind w:left="1984" w:right="0" w:firstLine="0"/>
      <w:spacing w:after="57"/>
    </w:pPr>
  </w:style>
  <w:style w:type="paragraph" w:styleId="708">
    <w:name w:val="endnote text"/>
    <w:basedOn w:val="688"/>
    <w:link w:val="869"/>
    <w:uiPriority w:val="99"/>
    <w:semiHidden/>
    <w:unhideWhenUsed/>
    <w:qFormat/>
    <w:pPr>
      <w:spacing w:after="0" w:line="240" w:lineRule="auto"/>
    </w:pPr>
    <w:rPr>
      <w:sz w:val="20"/>
    </w:rPr>
  </w:style>
  <w:style w:type="paragraph" w:styleId="709">
    <w:name w:val="Footer"/>
    <w:basedOn w:val="688"/>
    <w:link w:val="742"/>
    <w:uiPriority w:val="99"/>
    <w:unhideWhenUsed/>
    <w:qFormat/>
    <w:pPr>
      <w:spacing w:after="0" w:line="240" w:lineRule="auto"/>
      <w:tabs>
        <w:tab w:val="center" w:pos="7143" w:leader="none"/>
        <w:tab w:val="right" w:pos="14287" w:leader="none"/>
      </w:tabs>
    </w:pPr>
  </w:style>
  <w:style w:type="paragraph" w:styleId="710">
    <w:name w:val="Header"/>
    <w:basedOn w:val="688"/>
    <w:link w:val="740"/>
    <w:uiPriority w:val="99"/>
    <w:unhideWhenUsed/>
    <w:qFormat/>
    <w:pPr>
      <w:spacing w:after="0" w:line="240" w:lineRule="auto"/>
      <w:tabs>
        <w:tab w:val="center" w:pos="7143" w:leader="none"/>
        <w:tab w:val="right" w:pos="14287" w:leader="none"/>
      </w:tabs>
    </w:pPr>
  </w:style>
  <w:style w:type="paragraph" w:styleId="711">
    <w:name w:val="toc 1"/>
    <w:basedOn w:val="688"/>
    <w:next w:val="688"/>
    <w:uiPriority w:val="39"/>
    <w:unhideWhenUsed/>
    <w:qFormat/>
    <w:pPr>
      <w:ind w:left="0" w:right="0" w:firstLine="0"/>
      <w:spacing w:after="57"/>
    </w:pPr>
  </w:style>
  <w:style w:type="paragraph" w:styleId="712">
    <w:name w:val="toc 4"/>
    <w:basedOn w:val="688"/>
    <w:next w:val="688"/>
    <w:uiPriority w:val="39"/>
    <w:unhideWhenUsed/>
    <w:qFormat/>
    <w:pPr>
      <w:ind w:left="850" w:right="0" w:firstLine="0"/>
      <w:spacing w:after="57"/>
    </w:pPr>
  </w:style>
  <w:style w:type="paragraph" w:styleId="713">
    <w:name w:val="Subtitle"/>
    <w:basedOn w:val="688"/>
    <w:next w:val="688"/>
    <w:link w:val="735"/>
    <w:uiPriority w:val="11"/>
    <w:qFormat/>
    <w:pPr>
      <w:spacing w:before="200" w:after="200"/>
    </w:pPr>
    <w:rPr>
      <w:sz w:val="24"/>
      <w:szCs w:val="24"/>
    </w:rPr>
  </w:style>
  <w:style w:type="paragraph" w:styleId="714">
    <w:name w:val="footnote text"/>
    <w:basedOn w:val="688"/>
    <w:link w:val="868"/>
    <w:uiPriority w:val="99"/>
    <w:semiHidden/>
    <w:unhideWhenUsed/>
    <w:qFormat/>
    <w:pPr>
      <w:spacing w:after="40" w:line="240" w:lineRule="auto"/>
    </w:pPr>
    <w:rPr>
      <w:sz w:val="18"/>
    </w:rPr>
  </w:style>
  <w:style w:type="paragraph" w:styleId="715">
    <w:name w:val="toc 6"/>
    <w:basedOn w:val="688"/>
    <w:next w:val="688"/>
    <w:uiPriority w:val="39"/>
    <w:unhideWhenUsed/>
    <w:qFormat/>
    <w:pPr>
      <w:ind w:left="1417" w:right="0" w:firstLine="0"/>
      <w:spacing w:after="57"/>
    </w:pPr>
  </w:style>
  <w:style w:type="paragraph" w:styleId="716">
    <w:name w:val="table of figures"/>
    <w:basedOn w:val="688"/>
    <w:next w:val="688"/>
    <w:uiPriority w:val="99"/>
    <w:unhideWhenUsed/>
    <w:qFormat/>
    <w:pPr>
      <w:spacing w:after="0" w:afterAutospacing="0"/>
    </w:pPr>
  </w:style>
  <w:style w:type="paragraph" w:styleId="717">
    <w:name w:val="toc 2"/>
    <w:basedOn w:val="688"/>
    <w:next w:val="688"/>
    <w:uiPriority w:val="39"/>
    <w:unhideWhenUsed/>
    <w:qFormat/>
    <w:pPr>
      <w:ind w:left="283" w:right="0" w:firstLine="0"/>
      <w:spacing w:after="57"/>
    </w:pPr>
  </w:style>
  <w:style w:type="paragraph" w:styleId="718">
    <w:name w:val="toc 9"/>
    <w:basedOn w:val="688"/>
    <w:next w:val="688"/>
    <w:uiPriority w:val="39"/>
    <w:unhideWhenUsed/>
    <w:qFormat/>
    <w:pPr>
      <w:ind w:left="2268" w:right="0" w:firstLine="0"/>
      <w:spacing w:after="57"/>
    </w:pPr>
  </w:style>
  <w:style w:type="paragraph" w:styleId="719">
    <w:name w:val="Title"/>
    <w:basedOn w:val="688"/>
    <w:next w:val="688"/>
    <w:link w:val="734"/>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rPr>
  </w:style>
  <w:style w:type="character" w:styleId="723">
    <w:name w:val="footnote reference"/>
    <w:uiPriority w:val="99"/>
    <w:unhideWhenUsed/>
    <w:qFormat/>
    <w:rPr>
      <w:vertAlign w:val="superscript"/>
    </w:rPr>
  </w:style>
  <w:style w:type="character" w:styleId="724" w:customStyle="1">
    <w:name w:val="Heading 1 Char"/>
    <w:link w:val="689"/>
    <w:uiPriority w:val="9"/>
    <w:qFormat/>
    <w:rPr>
      <w:rFonts w:ascii="Arial" w:hAnsi="Arial" w:eastAsia="Arial" w:cs="Arial"/>
      <w:sz w:val="40"/>
      <w:szCs w:val="40"/>
    </w:rPr>
  </w:style>
  <w:style w:type="character" w:styleId="725" w:customStyle="1">
    <w:name w:val="Heading 2 Char"/>
    <w:link w:val="690"/>
    <w:uiPriority w:val="9"/>
    <w:qFormat/>
    <w:rPr>
      <w:rFonts w:ascii="Arial" w:hAnsi="Arial" w:eastAsia="Arial" w:cs="Arial"/>
      <w:sz w:val="34"/>
    </w:rPr>
  </w:style>
  <w:style w:type="character" w:styleId="726" w:customStyle="1">
    <w:name w:val="Heading 3 Char"/>
    <w:link w:val="691"/>
    <w:uiPriority w:val="9"/>
    <w:qFormat/>
    <w:rPr>
      <w:rFonts w:ascii="Arial" w:hAnsi="Arial" w:eastAsia="Arial" w:cs="Arial"/>
      <w:sz w:val="30"/>
      <w:szCs w:val="30"/>
    </w:rPr>
  </w:style>
  <w:style w:type="character" w:styleId="727" w:customStyle="1">
    <w:name w:val="Heading 4 Char"/>
    <w:link w:val="692"/>
    <w:uiPriority w:val="9"/>
    <w:qFormat/>
    <w:rPr>
      <w:rFonts w:ascii="Arial" w:hAnsi="Arial" w:eastAsia="Arial" w:cs="Arial"/>
      <w:b/>
      <w:bCs/>
      <w:sz w:val="26"/>
      <w:szCs w:val="26"/>
    </w:rPr>
  </w:style>
  <w:style w:type="character" w:styleId="728" w:customStyle="1">
    <w:name w:val="Heading 5 Char"/>
    <w:link w:val="693"/>
    <w:uiPriority w:val="9"/>
    <w:qFormat/>
    <w:rPr>
      <w:rFonts w:ascii="Arial" w:hAnsi="Arial" w:eastAsia="Arial" w:cs="Arial"/>
      <w:b/>
      <w:bCs/>
      <w:sz w:val="24"/>
      <w:szCs w:val="24"/>
    </w:rPr>
  </w:style>
  <w:style w:type="character" w:styleId="729" w:customStyle="1">
    <w:name w:val="Heading 6 Char"/>
    <w:link w:val="694"/>
    <w:uiPriority w:val="9"/>
    <w:qFormat/>
    <w:rPr>
      <w:rFonts w:ascii="Arial" w:hAnsi="Arial" w:eastAsia="Arial" w:cs="Arial"/>
      <w:b/>
      <w:bCs/>
      <w:sz w:val="22"/>
      <w:szCs w:val="22"/>
    </w:rPr>
  </w:style>
  <w:style w:type="character" w:styleId="730" w:customStyle="1">
    <w:name w:val="Heading 7 Char"/>
    <w:link w:val="695"/>
    <w:uiPriority w:val="9"/>
    <w:qFormat/>
    <w:rPr>
      <w:rFonts w:ascii="Arial" w:hAnsi="Arial" w:eastAsia="Arial" w:cs="Arial"/>
      <w:b/>
      <w:bCs/>
      <w:i/>
      <w:iCs/>
      <w:sz w:val="22"/>
      <w:szCs w:val="22"/>
    </w:rPr>
  </w:style>
  <w:style w:type="character" w:styleId="731" w:customStyle="1">
    <w:name w:val="Heading 8 Char"/>
    <w:link w:val="696"/>
    <w:uiPriority w:val="9"/>
    <w:qFormat/>
    <w:rPr>
      <w:rFonts w:ascii="Arial" w:hAnsi="Arial" w:eastAsia="Arial" w:cs="Arial"/>
      <w:i/>
      <w:iCs/>
      <w:sz w:val="22"/>
      <w:szCs w:val="22"/>
    </w:rPr>
  </w:style>
  <w:style w:type="character" w:styleId="732" w:customStyle="1">
    <w:name w:val="Heading 9 Char"/>
    <w:link w:val="697"/>
    <w:uiPriority w:val="9"/>
    <w:qFormat/>
    <w:rPr>
      <w:rFonts w:ascii="Arial" w:hAnsi="Arial" w:eastAsia="Arial" w:cs="Arial"/>
      <w:i/>
      <w:iCs/>
      <w:sz w:val="21"/>
      <w:szCs w:val="21"/>
    </w:r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9"/>
    <w:uiPriority w:val="10"/>
    <w:qFormat/>
    <w:rPr>
      <w:sz w:val="48"/>
      <w:szCs w:val="48"/>
    </w:rPr>
  </w:style>
  <w:style w:type="character" w:styleId="735" w:customStyle="1">
    <w:name w:val="Subtitle Char"/>
    <w:link w:val="713"/>
    <w:uiPriority w:val="11"/>
    <w:qFormat/>
    <w:rPr>
      <w:sz w:val="24"/>
      <w:szCs w:val="24"/>
    </w:rPr>
  </w:style>
  <w:style w:type="paragraph" w:styleId="736">
    <w:name w:val="Quote"/>
    <w:basedOn w:val="688"/>
    <w:next w:val="688"/>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8"/>
    <w:next w:val="6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10"/>
    <w:uiPriority w:val="99"/>
    <w:qFormat/>
  </w:style>
  <w:style w:type="character" w:styleId="741" w:customStyle="1">
    <w:name w:val="Footer Char"/>
    <w:link w:val="709"/>
    <w:uiPriority w:val="99"/>
    <w:qFormat/>
  </w:style>
  <w:style w:type="character" w:styleId="742" w:customStyle="1">
    <w:name w:val="Caption Char"/>
    <w:link w:val="709"/>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4"/>
    <w:uiPriority w:val="99"/>
    <w:qFormat/>
    <w:rPr>
      <w:sz w:val="18"/>
    </w:rPr>
  </w:style>
  <w:style w:type="character" w:styleId="869" w:customStyle="1">
    <w:name w:val="Endnote Text Char"/>
    <w:link w:val="708"/>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8"/>
    <w:next w:val="688"/>
    <w:link w:val="879"/>
    <w:uiPriority w:val="0"/>
    <w:qFormat/>
    <w:pPr>
      <w:keepLines/>
      <w:keepNext/>
      <w:spacing w:before="340" w:after="330" w:line="578" w:lineRule="auto"/>
      <w:outlineLvl w:val="0"/>
    </w:pPr>
    <w:rPr>
      <w:b/>
      <w:bCs/>
      <w:sz w:val="44"/>
      <w:szCs w:val="44"/>
    </w:rPr>
  </w:style>
  <w:style w:type="paragraph" w:styleId="872" w:customStyle="1">
    <w:name w:val="标题 21"/>
    <w:basedOn w:val="688"/>
    <w:next w:val="688"/>
    <w:link w:val="880"/>
    <w:uiPriority w:val="0"/>
    <w:qFormat/>
    <w:pPr>
      <w:keepLines/>
      <w:keepNext/>
      <w:spacing w:before="260" w:after="260" w:line="416" w:lineRule="auto"/>
      <w:outlineLvl w:val="1"/>
    </w:pPr>
    <w:rPr>
      <w:rFonts w:ascii="等线 Light" w:hAnsi="等线 Light" w:eastAsia="等线 Light"/>
      <w:b/>
      <w:bCs/>
      <w:sz w:val="32"/>
      <w:szCs w:val="32"/>
    </w:rPr>
  </w:style>
  <w:style w:type="paragraph" w:styleId="873" w:customStyle="1">
    <w:name w:val="标题 31"/>
    <w:basedOn w:val="871"/>
    <w:next w:val="874"/>
    <w:link w:val="881"/>
    <w:uiPriority w:val="0"/>
    <w:qFormat/>
    <w:pPr>
      <w:ind w:left="720" w:hanging="720"/>
      <w:jc w:val="center"/>
      <w:spacing w:before="240" w:after="240" w:line="360" w:lineRule="auto"/>
      <w:outlineLvl w:val="2"/>
    </w:pPr>
    <w:rPr>
      <w:rFonts w:eastAsia="仿宋"/>
      <w:sz w:val="24"/>
    </w:rPr>
  </w:style>
  <w:style w:type="paragraph" w:styleId="874" w:customStyle="1">
    <w:name w:val="正文缩进1"/>
    <w:basedOn w:val="688"/>
    <w:next w:val="688"/>
    <w:link w:val="882"/>
    <w:uiPriority w:val="0"/>
    <w:qFormat/>
    <w:pPr>
      <w:ind w:firstLine="420"/>
    </w:pPr>
    <w:rPr>
      <w:szCs w:val="20"/>
    </w:rPr>
  </w:style>
  <w:style w:type="paragraph" w:styleId="875" w:customStyle="1">
    <w:name w:val="标题 41"/>
    <w:basedOn w:val="688"/>
    <w:next w:val="688"/>
    <w:uiPriority w:val="0"/>
    <w:qFormat/>
    <w:pPr>
      <w:keepLines/>
      <w:keepNext/>
      <w:spacing w:before="120" w:after="120"/>
      <w:outlineLvl w:val="3"/>
    </w:pPr>
    <w:rPr>
      <w:rFonts w:ascii="Arial" w:hAnsi="Arial" w:eastAsia="黑体"/>
      <w:b/>
      <w:sz w:val="20"/>
      <w:szCs w:val="20"/>
    </w:rPr>
  </w:style>
  <w:style w:type="character" w:styleId="876" w:customStyle="1">
    <w:name w:val="默认段落字体1"/>
    <w:link w:val="688"/>
    <w:uiPriority w:val="1"/>
    <w:unhideWhenUsed/>
    <w:qFormat/>
  </w:style>
  <w:style w:type="table" w:styleId="877" w:customStyle="1">
    <w:name w:val="普通表格1"/>
    <w:uiPriority w:val="99"/>
    <w:unhideWhenUsed/>
    <w:qFormat/>
    <w:tblPr/>
  </w:style>
  <w:style w:type="character" w:styleId="878" w:customStyle="1">
    <w:name w:val="正文文本缩进 字符"/>
    <w:link w:val="701"/>
    <w:uiPriority w:val="0"/>
    <w:qFormat/>
    <w:rPr>
      <w:rFonts w:ascii="宋体"/>
      <w:sz w:val="24"/>
    </w:rPr>
  </w:style>
  <w:style w:type="character" w:styleId="879" w:customStyle="1">
    <w:name w:val="标题 1 字符"/>
    <w:link w:val="871"/>
    <w:uiPriority w:val="0"/>
    <w:qFormat/>
    <w:rPr>
      <w:rFonts w:ascii="Calibri" w:hAnsi="Calibri"/>
      <w:b/>
      <w:bCs/>
      <w:sz w:val="44"/>
      <w:szCs w:val="44"/>
    </w:rPr>
  </w:style>
  <w:style w:type="character" w:styleId="880" w:customStyle="1">
    <w:name w:val="标题 2 字符"/>
    <w:link w:val="872"/>
    <w:uiPriority w:val="0"/>
    <w:qFormat/>
    <w:rPr>
      <w:rFonts w:ascii="等线 Light" w:hAnsi="等线 Light" w:eastAsia="等线 Light"/>
      <w:b/>
      <w:bCs/>
      <w:sz w:val="32"/>
      <w:szCs w:val="32"/>
    </w:rPr>
  </w:style>
  <w:style w:type="character" w:styleId="881" w:customStyle="1">
    <w:name w:val="标题 3 字符"/>
    <w:link w:val="873"/>
    <w:uiPriority w:val="0"/>
    <w:qFormat/>
    <w:rPr>
      <w:rFonts w:ascii="Calibri" w:hAnsi="Calibri" w:eastAsia="仿宋"/>
      <w:b/>
      <w:bCs/>
      <w:sz w:val="24"/>
      <w:szCs w:val="44"/>
    </w:rPr>
  </w:style>
  <w:style w:type="character" w:styleId="882" w:customStyle="1">
    <w:name w:val="正文缩进 字符"/>
    <w:link w:val="874"/>
    <w:uiPriority w:val="0"/>
    <w:qFormat/>
    <w:rPr>
      <w:rFonts w:ascii="Calibri" w:hAnsi="Calibri"/>
      <w:sz w:val="21"/>
    </w:rPr>
  </w:style>
  <w:style w:type="paragraph" w:styleId="883" w:customStyle="1">
    <w:name w:val="引文目录标题1"/>
    <w:basedOn w:val="688"/>
    <w:next w:val="688"/>
    <w:uiPriority w:val="99"/>
    <w:unhideWhenUsed/>
    <w:qFormat/>
    <w:pPr>
      <w:spacing w:before="120"/>
    </w:pPr>
    <w:rPr>
      <w:rFonts w:ascii="Cambria" w:hAnsi="Cambria"/>
      <w:sz w:val="24"/>
      <w:szCs w:val="24"/>
    </w:rPr>
  </w:style>
  <w:style w:type="paragraph" w:styleId="884" w:customStyle="1">
    <w:name w:val="批注文字1"/>
    <w:basedOn w:val="688"/>
    <w:link w:val="885"/>
    <w:uiPriority w:val="0"/>
    <w:qFormat/>
    <w:pPr>
      <w:jc w:val="left"/>
    </w:pPr>
    <w:rPr>
      <w:szCs w:val="20"/>
    </w:rPr>
  </w:style>
  <w:style w:type="character" w:styleId="885" w:customStyle="1">
    <w:name w:val="批注文字 字符"/>
    <w:link w:val="884"/>
    <w:uiPriority w:val="0"/>
    <w:qFormat/>
    <w:rPr>
      <w:rFonts w:ascii="Calibri" w:hAnsi="Calibri"/>
      <w:sz w:val="21"/>
    </w:rPr>
  </w:style>
  <w:style w:type="paragraph" w:styleId="886" w:customStyle="1">
    <w:name w:val="正文文本1"/>
    <w:basedOn w:val="688"/>
    <w:next w:val="887"/>
    <w:link w:val="890"/>
    <w:uiPriority w:val="0"/>
    <w:qFormat/>
    <w:pPr>
      <w:spacing w:after="120"/>
    </w:pPr>
  </w:style>
  <w:style w:type="paragraph" w:styleId="887" w:customStyle="1">
    <w:name w:val="一级条标题"/>
    <w:basedOn w:val="888"/>
    <w:next w:val="88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88" w:customStyle="1">
    <w:name w:val="章标题"/>
    <w:next w:val="688"/>
    <w:uiPriority w:val="0"/>
    <w:qFormat/>
    <w:pPr>
      <w:ind w:left="810" w:hanging="810"/>
      <w:jc w:val="both"/>
      <w:spacing w:before="50" w:after="50"/>
      <w:tabs>
        <w:tab w:val="left" w:pos="810" w:leader="none"/>
        <w:tab w:val="left" w:pos="1265" w:leader="none"/>
      </w:tabs>
      <w:outlineLvl w:val="1"/>
    </w:pPr>
    <w:rPr>
      <w:rFonts w:hint="default" w:ascii="黑体" w:hAnsi="Calibri" w:eastAsia="黑体" w:cs="等线"/>
      <w:sz w:val="21"/>
      <w:szCs w:val="22"/>
      <w:lang w:val="en-US" w:eastAsia="zh-CN" w:bidi="ar-SA"/>
    </w:rPr>
  </w:style>
  <w:style w:type="paragraph" w:styleId="889" w:customStyle="1">
    <w:name w:val="段"/>
    <w:next w:val="688"/>
    <w:uiPriority w:val="0"/>
    <w:qFormat/>
    <w:pPr>
      <w:ind w:firstLine="200"/>
      <w:jc w:val="both"/>
    </w:pPr>
    <w:rPr>
      <w:rFonts w:hint="default" w:ascii="宋体" w:hAnsi="Times New Roman" w:eastAsia="宋体" w:cs="Times New Roman"/>
      <w:sz w:val="21"/>
      <w:szCs w:val="22"/>
      <w:lang w:val="en-US" w:eastAsia="zh-CN" w:bidi="ar-SA"/>
    </w:rPr>
  </w:style>
  <w:style w:type="character" w:styleId="890" w:customStyle="1">
    <w:name w:val="正文文本 字符"/>
    <w:link w:val="886"/>
    <w:uiPriority w:val="0"/>
    <w:qFormat/>
    <w:rPr>
      <w:rFonts w:ascii="Calibri" w:hAnsi="Calibri"/>
      <w:sz w:val="21"/>
      <w:szCs w:val="22"/>
    </w:rPr>
  </w:style>
  <w:style w:type="paragraph" w:styleId="891" w:customStyle="1">
    <w:name w:val="目录 31"/>
    <w:basedOn w:val="688"/>
    <w:next w:val="688"/>
    <w:uiPriority w:val="39"/>
    <w:unhideWhenUsed/>
    <w:qFormat/>
    <w:pPr>
      <w:ind w:left="420"/>
      <w:jc w:val="left"/>
    </w:pPr>
    <w:rPr>
      <w:rFonts w:ascii="等线" w:hAnsi="Plotter" w:eastAsia="等线"/>
      <w:i/>
      <w:iCs/>
      <w:sz w:val="20"/>
      <w:szCs w:val="20"/>
    </w:rPr>
  </w:style>
  <w:style w:type="paragraph" w:styleId="892" w:customStyle="1">
    <w:name w:val="纯文本11"/>
    <w:basedOn w:val="688"/>
    <w:link w:val="893"/>
    <w:uiPriority w:val="0"/>
    <w:qFormat/>
    <w:rPr>
      <w:rFonts w:ascii="宋体" w:hAnsi="Courier New"/>
    </w:rPr>
  </w:style>
  <w:style w:type="character" w:styleId="893" w:customStyle="1">
    <w:name w:val="纯文本 字符"/>
    <w:link w:val="892"/>
    <w:uiPriority w:val="0"/>
    <w:qFormat/>
    <w:rPr>
      <w:rFonts w:ascii="宋体" w:hAnsi="Courier New"/>
      <w:sz w:val="21"/>
      <w:szCs w:val="22"/>
    </w:rPr>
  </w:style>
  <w:style w:type="paragraph" w:styleId="894" w:customStyle="1">
    <w:name w:val="日期1"/>
    <w:basedOn w:val="688"/>
    <w:next w:val="688"/>
    <w:link w:val="895"/>
    <w:uiPriority w:val="0"/>
    <w:qFormat/>
    <w:rPr>
      <w:rFonts w:ascii="宋体" w:hAnsi="Times New Roman"/>
      <w:sz w:val="28"/>
      <w:szCs w:val="20"/>
    </w:rPr>
  </w:style>
  <w:style w:type="character" w:styleId="895" w:customStyle="1">
    <w:name w:val="日期 字符1"/>
    <w:link w:val="894"/>
    <w:uiPriority w:val="0"/>
    <w:qFormat/>
    <w:rPr>
      <w:rFonts w:ascii="宋体"/>
      <w:sz w:val="28"/>
    </w:rPr>
  </w:style>
  <w:style w:type="paragraph" w:styleId="896" w:customStyle="1">
    <w:name w:val="正文文本缩进 21"/>
    <w:basedOn w:val="688"/>
    <w:uiPriority w:val="0"/>
    <w:qFormat/>
    <w:pPr>
      <w:ind w:left="630" w:firstLine="645"/>
    </w:pPr>
    <w:rPr>
      <w:rFonts w:ascii="Arial" w:hAnsi="Arial" w:eastAsia="仿宋_GB2312"/>
      <w:sz w:val="32"/>
      <w:szCs w:val="20"/>
    </w:rPr>
  </w:style>
  <w:style w:type="paragraph" w:styleId="897" w:customStyle="1">
    <w:name w:val="批注框文本1"/>
    <w:basedOn w:val="688"/>
    <w:link w:val="898"/>
    <w:uiPriority w:val="0"/>
    <w:qFormat/>
    <w:rPr>
      <w:sz w:val="16"/>
      <w:szCs w:val="16"/>
    </w:rPr>
  </w:style>
  <w:style w:type="character" w:styleId="898" w:customStyle="1">
    <w:name w:val="批注框文本 字符1"/>
    <w:link w:val="897"/>
    <w:uiPriority w:val="0"/>
    <w:qFormat/>
    <w:rPr>
      <w:rFonts w:ascii="Calibri" w:hAnsi="Calibri" w:eastAsia="宋体" w:cs="Times New Roman"/>
      <w:sz w:val="16"/>
      <w:szCs w:val="16"/>
    </w:rPr>
  </w:style>
  <w:style w:type="paragraph" w:styleId="899" w:customStyle="1">
    <w:name w:val="页脚1"/>
    <w:basedOn w:val="688"/>
    <w:link w:val="900"/>
    <w:uiPriority w:val="0"/>
    <w:qFormat/>
    <w:pPr>
      <w:jc w:val="left"/>
      <w:tabs>
        <w:tab w:val="center" w:pos="4153" w:leader="none"/>
        <w:tab w:val="right" w:pos="8306" w:leader="none"/>
      </w:tabs>
    </w:pPr>
    <w:rPr>
      <w:sz w:val="18"/>
      <w:szCs w:val="18"/>
    </w:rPr>
  </w:style>
  <w:style w:type="character" w:styleId="900" w:customStyle="1">
    <w:name w:val="页脚 字符"/>
    <w:link w:val="899"/>
    <w:uiPriority w:val="0"/>
    <w:qFormat/>
    <w:rPr>
      <w:rFonts w:ascii="Calibri" w:hAnsi="Calibri"/>
      <w:sz w:val="18"/>
      <w:szCs w:val="18"/>
    </w:rPr>
  </w:style>
  <w:style w:type="paragraph" w:styleId="901" w:customStyle="1">
    <w:name w:val="页眉1"/>
    <w:basedOn w:val="688"/>
    <w:link w:val="902"/>
    <w:uiPriority w:val="0"/>
    <w:qFormat/>
    <w:pPr>
      <w:jc w:val="center"/>
      <w:tabs>
        <w:tab w:val="center" w:pos="4153" w:leader="none"/>
        <w:tab w:val="right" w:pos="8306" w:leader="none"/>
      </w:tabs>
      <w:pBdr>
        <w:bottom w:val="single" w:color="000000" w:sz="6" w:space="1"/>
      </w:pBdr>
    </w:pPr>
    <w:rPr>
      <w:sz w:val="18"/>
      <w:szCs w:val="18"/>
    </w:rPr>
  </w:style>
  <w:style w:type="character" w:styleId="902" w:customStyle="1">
    <w:name w:val="页眉 字符"/>
    <w:link w:val="901"/>
    <w:uiPriority w:val="0"/>
    <w:qFormat/>
    <w:rPr>
      <w:rFonts w:ascii="Calibri" w:hAnsi="Calibri"/>
      <w:sz w:val="18"/>
      <w:szCs w:val="18"/>
    </w:rPr>
  </w:style>
  <w:style w:type="paragraph" w:styleId="903" w:customStyle="1">
    <w:name w:val="目录 11"/>
    <w:basedOn w:val="688"/>
    <w:next w:val="688"/>
    <w:uiPriority w:val="39"/>
    <w:qFormat/>
    <w:pPr>
      <w:tabs>
        <w:tab w:val="right" w:pos="8456" w:leader="dot"/>
      </w:tabs>
    </w:pPr>
    <w:rPr>
      <w:rFonts w:ascii="宋体" w:hAnsi="宋体"/>
    </w:rPr>
  </w:style>
  <w:style w:type="paragraph" w:styleId="904" w:customStyle="1">
    <w:name w:val="索引标题1"/>
    <w:basedOn w:val="688"/>
    <w:next w:val="905"/>
    <w:uiPriority w:val="0"/>
    <w:qFormat/>
    <w:rPr>
      <w:szCs w:val="20"/>
    </w:rPr>
  </w:style>
  <w:style w:type="paragraph" w:styleId="905" w:customStyle="1">
    <w:name w:val="索引 11"/>
    <w:basedOn w:val="688"/>
    <w:next w:val="688"/>
    <w:uiPriority w:val="0"/>
    <w:qFormat/>
    <w:pPr>
      <w:jc w:val="center"/>
    </w:pPr>
    <w:rPr>
      <w:bCs/>
      <w:szCs w:val="20"/>
    </w:rPr>
  </w:style>
  <w:style w:type="paragraph" w:styleId="906" w:customStyle="1">
    <w:name w:val="副标题1"/>
    <w:basedOn w:val="688"/>
    <w:next w:val="688"/>
    <w:link w:val="907"/>
    <w:uiPriority w:val="0"/>
    <w:qFormat/>
    <w:pPr>
      <w:jc w:val="left"/>
      <w:spacing w:line="360" w:lineRule="auto"/>
      <w:outlineLvl w:val="1"/>
    </w:pPr>
    <w:rPr>
      <w:rFonts w:ascii="等线 Light" w:hAnsi="等线 Light" w:eastAsia="仿宋"/>
      <w:b/>
      <w:bCs/>
      <w:sz w:val="28"/>
      <w:szCs w:val="32"/>
    </w:rPr>
  </w:style>
  <w:style w:type="character" w:styleId="907" w:customStyle="1">
    <w:name w:val="副标题 字符"/>
    <w:link w:val="906"/>
    <w:uiPriority w:val="0"/>
    <w:qFormat/>
    <w:rPr>
      <w:rFonts w:ascii="等线 Light" w:hAnsi="等线 Light" w:eastAsia="仿宋"/>
      <w:b/>
      <w:bCs/>
      <w:sz w:val="28"/>
      <w:szCs w:val="32"/>
    </w:rPr>
  </w:style>
  <w:style w:type="paragraph" w:styleId="908" w:customStyle="1">
    <w:name w:val="正文文本缩进 31"/>
    <w:basedOn w:val="688"/>
    <w:link w:val="909"/>
    <w:uiPriority w:val="0"/>
    <w:qFormat/>
    <w:pPr>
      <w:ind w:left="420"/>
      <w:spacing w:after="120"/>
    </w:pPr>
    <w:rPr>
      <w:rFonts w:ascii="Plotter" w:hAnsi="Plotter"/>
      <w:sz w:val="16"/>
      <w:szCs w:val="16"/>
    </w:rPr>
  </w:style>
  <w:style w:type="character" w:styleId="909" w:customStyle="1">
    <w:name w:val="正文文本缩进 3 字符"/>
    <w:link w:val="908"/>
    <w:uiPriority w:val="0"/>
    <w:qFormat/>
    <w:rPr>
      <w:rFonts w:ascii="Plotter" w:hAnsi="Plotter"/>
      <w:sz w:val="16"/>
      <w:szCs w:val="16"/>
    </w:rPr>
  </w:style>
  <w:style w:type="paragraph" w:styleId="910" w:customStyle="1">
    <w:name w:val="目录 21"/>
    <w:basedOn w:val="688"/>
    <w:next w:val="688"/>
    <w:uiPriority w:val="39"/>
    <w:qFormat/>
    <w:pPr>
      <w:ind w:left="420"/>
    </w:pPr>
    <w:rPr>
      <w:rFonts w:ascii="Plotter" w:hAnsi="Plotter" w:eastAsia="微软雅黑"/>
    </w:rPr>
  </w:style>
  <w:style w:type="paragraph" w:styleId="911" w:customStyle="1">
    <w:name w:val="普通(网站)11"/>
    <w:basedOn w:val="688"/>
    <w:uiPriority w:val="99"/>
    <w:qFormat/>
    <w:pPr>
      <w:jc w:val="left"/>
    </w:pPr>
    <w:rPr>
      <w:rFonts w:ascii="Plotter" w:hAnsi="Plotter" w:eastAsia="微软雅黑"/>
      <w:sz w:val="24"/>
    </w:rPr>
  </w:style>
  <w:style w:type="paragraph" w:styleId="912" w:customStyle="1">
    <w:name w:val="标题1"/>
    <w:basedOn w:val="688"/>
    <w:next w:val="688"/>
    <w:link w:val="913"/>
    <w:uiPriority w:val="0"/>
    <w:qFormat/>
    <w:pPr>
      <w:jc w:val="center"/>
      <w:spacing w:before="240" w:after="60"/>
      <w:outlineLvl w:val="0"/>
    </w:pPr>
    <w:rPr>
      <w:rFonts w:ascii="等线 Light" w:hAnsi="等线 Light"/>
      <w:b/>
      <w:bCs/>
      <w:sz w:val="32"/>
      <w:szCs w:val="32"/>
    </w:rPr>
  </w:style>
  <w:style w:type="character" w:styleId="913" w:customStyle="1">
    <w:name w:val="标题 字符"/>
    <w:link w:val="912"/>
    <w:uiPriority w:val="0"/>
    <w:qFormat/>
    <w:rPr>
      <w:rFonts w:ascii="等线 Light" w:hAnsi="等线 Light"/>
      <w:b/>
      <w:bCs/>
      <w:sz w:val="32"/>
      <w:szCs w:val="32"/>
    </w:rPr>
  </w:style>
  <w:style w:type="paragraph" w:styleId="914" w:customStyle="1">
    <w:name w:val="批注主题1"/>
    <w:basedOn w:val="884"/>
    <w:next w:val="884"/>
    <w:link w:val="915"/>
    <w:uiPriority w:val="0"/>
    <w:qFormat/>
    <w:rPr>
      <w:rFonts w:ascii="Plotter" w:hAnsi="Plotter"/>
      <w:b/>
      <w:bCs/>
      <w:szCs w:val="22"/>
    </w:rPr>
  </w:style>
  <w:style w:type="character" w:styleId="915" w:customStyle="1">
    <w:name w:val="批注主题 字符"/>
    <w:link w:val="914"/>
    <w:uiPriority w:val="0"/>
    <w:qFormat/>
    <w:rPr>
      <w:rFonts w:ascii="Plotter" w:hAnsi="Plotter"/>
      <w:b/>
      <w:bCs/>
      <w:sz w:val="21"/>
      <w:szCs w:val="22"/>
    </w:rPr>
  </w:style>
  <w:style w:type="paragraph" w:styleId="916" w:customStyle="1">
    <w:name w:val="正文首行缩进1"/>
    <w:basedOn w:val="886"/>
    <w:link w:val="917"/>
    <w:uiPriority w:val="0"/>
    <w:qFormat/>
    <w:pPr>
      <w:ind w:firstLine="420"/>
    </w:pPr>
    <w:rPr>
      <w:rFonts w:ascii="Times New Roman" w:hAnsi="Times New Roman" w:eastAsia="微软雅黑"/>
      <w:sz w:val="30"/>
    </w:rPr>
  </w:style>
  <w:style w:type="character" w:styleId="917" w:customStyle="1">
    <w:name w:val="正文首行缩进 字符"/>
    <w:link w:val="916"/>
    <w:uiPriority w:val="0"/>
    <w:qFormat/>
  </w:style>
  <w:style w:type="table" w:styleId="918" w:customStyle="1">
    <w:name w:val="网格型1"/>
    <w:basedOn w:val="877"/>
    <w:uiPriority w:val="0"/>
    <w:qFormat/>
    <w:rPr>
      <w:rFonts w:ascii="Calibri" w:hAnsi="Calibri"/>
      <w:sz w:val="21"/>
      <w:szCs w:val="22"/>
    </w:rPr>
    <w:tblPr/>
  </w:style>
  <w:style w:type="character" w:styleId="919" w:customStyle="1">
    <w:name w:val="要点1"/>
    <w:link w:val="688"/>
    <w:uiPriority w:val="0"/>
    <w:qFormat/>
    <w:rPr>
      <w:b/>
      <w:bCs/>
      <w:sz w:val="24"/>
      <w:szCs w:val="24"/>
    </w:rPr>
  </w:style>
  <w:style w:type="character" w:styleId="920" w:customStyle="1">
    <w:name w:val="页码11"/>
    <w:link w:val="688"/>
    <w:uiPriority w:val="0"/>
    <w:qFormat/>
  </w:style>
  <w:style w:type="character" w:styleId="921" w:customStyle="1">
    <w:name w:val="已访问的超链接1"/>
    <w:link w:val="688"/>
    <w:uiPriority w:val="0"/>
    <w:qFormat/>
    <w:rPr>
      <w:color w:val="000000"/>
      <w:u w:val="none"/>
    </w:rPr>
  </w:style>
  <w:style w:type="character" w:styleId="922" w:customStyle="1">
    <w:name w:val="强调1"/>
    <w:link w:val="688"/>
    <w:uiPriority w:val="20"/>
    <w:qFormat/>
    <w:rPr>
      <w:i/>
      <w:iCs/>
    </w:rPr>
  </w:style>
  <w:style w:type="character" w:styleId="923" w:customStyle="1">
    <w:name w:val="超链接1"/>
    <w:link w:val="688"/>
    <w:uiPriority w:val="99"/>
    <w:unhideWhenUsed/>
    <w:qFormat/>
    <w:rPr>
      <w:color w:val="0563c1"/>
      <w:u w:val="single"/>
    </w:rPr>
  </w:style>
  <w:style w:type="character" w:styleId="924" w:customStyle="1">
    <w:name w:val="HTML 代码1"/>
    <w:link w:val="688"/>
    <w:uiPriority w:val="0"/>
    <w:qFormat/>
    <w:rPr>
      <w:rFonts w:ascii="Courier New" w:hAnsi="Courier New"/>
      <w:sz w:val="20"/>
    </w:rPr>
  </w:style>
  <w:style w:type="character" w:styleId="925" w:customStyle="1">
    <w:name w:val="批注引用1"/>
    <w:link w:val="688"/>
    <w:uiPriority w:val="0"/>
    <w:qFormat/>
    <w:rPr>
      <w:sz w:val="21"/>
      <w:szCs w:val="21"/>
    </w:rPr>
  </w:style>
  <w:style w:type="character" w:styleId="926" w:customStyle="1">
    <w:name w:val="样式 标题 3标题 3 Char + 黑体 小四 非加粗 Char"/>
    <w:link w:val="927"/>
    <w:uiPriority w:val="0"/>
    <w:qFormat/>
    <w:rPr>
      <w:rFonts w:ascii="黑体" w:hAnsi="黑体" w:eastAsia="黑体"/>
      <w:b/>
      <w:sz w:val="24"/>
    </w:rPr>
  </w:style>
  <w:style w:type="paragraph" w:styleId="927" w:customStyle="1">
    <w:name w:val="样式 标题 3标题 3 Char + 黑体 小四 非加粗"/>
    <w:basedOn w:val="875"/>
    <w:link w:val="926"/>
    <w:uiPriority w:val="0"/>
    <w:qFormat/>
    <w:pPr>
      <w:ind w:left="360"/>
      <w:spacing w:before="280" w:after="290" w:line="376" w:lineRule="auto"/>
    </w:pPr>
    <w:rPr>
      <w:rFonts w:ascii="黑体" w:hAnsi="黑体"/>
      <w:sz w:val="24"/>
    </w:rPr>
  </w:style>
  <w:style w:type="character" w:styleId="928" w:customStyle="1">
    <w:name w:val="font01"/>
    <w:link w:val="688"/>
    <w:uiPriority w:val="0"/>
    <w:qFormat/>
    <w:rPr>
      <w:rFonts w:ascii="Times New Roman" w:hAnsi="Times New Roman" w:cs="Times New Roman"/>
      <w:color w:val="000000"/>
      <w:sz w:val="24"/>
      <w:szCs w:val="24"/>
      <w:u w:val="none"/>
    </w:rPr>
  </w:style>
  <w:style w:type="character" w:styleId="929" w:customStyle="1">
    <w:name w:val="正文文本缩进 3 Char1"/>
    <w:link w:val="688"/>
    <w:uiPriority w:val="0"/>
    <w:qFormat/>
    <w:rPr>
      <w:rFonts w:ascii="Calibri" w:hAnsi="Calibri"/>
      <w:sz w:val="16"/>
      <w:szCs w:val="16"/>
    </w:rPr>
  </w:style>
  <w:style w:type="character" w:styleId="930" w:customStyle="1">
    <w:name w:val="font51"/>
    <w:link w:val="688"/>
    <w:uiPriority w:val="0"/>
    <w:qFormat/>
    <w:rPr>
      <w:rFonts w:hint="eastAsia" w:ascii="宋体" w:hAnsi="宋体" w:eastAsia="宋体" w:cs="宋体"/>
      <w:b/>
      <w:color w:val="000000"/>
      <w:sz w:val="24"/>
      <w:szCs w:val="24"/>
      <w:u w:val="none"/>
    </w:rPr>
  </w:style>
  <w:style w:type="character" w:styleId="931" w:customStyle="1">
    <w:name w:val="日期 Char1"/>
    <w:link w:val="688"/>
    <w:uiPriority w:val="0"/>
    <w:qFormat/>
    <w:rPr>
      <w:rFonts w:ascii="Calibri" w:hAnsi="Calibri"/>
      <w:sz w:val="21"/>
      <w:szCs w:val="22"/>
    </w:rPr>
  </w:style>
  <w:style w:type="character" w:styleId="932" w:customStyle="1">
    <w:name w:val="grame"/>
    <w:link w:val="688"/>
    <w:uiPriority w:val="0"/>
    <w:qFormat/>
  </w:style>
  <w:style w:type="character" w:styleId="933" w:customStyle="1">
    <w:name w:val="批注文字 Char2"/>
    <w:link w:val="688"/>
    <w:uiPriority w:val="0"/>
    <w:qFormat/>
    <w:rPr>
      <w:rFonts w:ascii="Symbol" w:hAnsi="Symbol" w:eastAsia="宋体" w:cs="Symbol"/>
      <w:sz w:val="21"/>
      <w:szCs w:val="24"/>
      <w:lang w:val="en-US" w:eastAsia="zh-CN" w:bidi="ar-SA"/>
    </w:rPr>
  </w:style>
  <w:style w:type="character" w:styleId="934" w:customStyle="1">
    <w:name w:val="标题 Char1"/>
    <w:link w:val="688"/>
    <w:uiPriority w:val="0"/>
    <w:qFormat/>
    <w:rPr>
      <w:rFonts w:ascii="Cambria" w:hAnsi="Cambria" w:cs="Times New Roman"/>
      <w:b/>
      <w:bCs/>
      <w:sz w:val="32"/>
      <w:szCs w:val="32"/>
    </w:rPr>
  </w:style>
  <w:style w:type="character" w:styleId="935" w:customStyle="1">
    <w:name w:val="font11"/>
    <w:link w:val="688"/>
    <w:uiPriority w:val="0"/>
    <w:qFormat/>
    <w:rPr>
      <w:rFonts w:hint="eastAsia" w:ascii="宋体" w:hAnsi="宋体" w:eastAsia="宋体" w:cs="宋体"/>
      <w:color w:val="ff0000"/>
      <w:sz w:val="24"/>
      <w:szCs w:val="24"/>
      <w:u w:val="none"/>
    </w:rPr>
  </w:style>
  <w:style w:type="character" w:styleId="936" w:customStyle="1">
    <w:name w:val="font31"/>
    <w:link w:val="688"/>
    <w:uiPriority w:val="0"/>
    <w:qFormat/>
    <w:rPr>
      <w:rFonts w:hint="eastAsia" w:ascii="宋体" w:hAnsi="宋体" w:eastAsia="宋体" w:cs="宋体"/>
      <w:b/>
      <w:color w:val="000000"/>
      <w:sz w:val="18"/>
      <w:szCs w:val="18"/>
      <w:u w:val="none"/>
    </w:rPr>
  </w:style>
  <w:style w:type="character" w:styleId="937" w:customStyle="1">
    <w:name w:val="正文文本 (2)_"/>
    <w:link w:val="938"/>
    <w:uiPriority w:val="99"/>
    <w:qFormat/>
    <w:rPr>
      <w:rFonts w:ascii="Wingdings" w:hAnsi="Wingdings"/>
      <w:sz w:val="18"/>
      <w:szCs w:val="22"/>
      <w:lang w:val="zh-TW"/>
    </w:rPr>
  </w:style>
  <w:style w:type="paragraph" w:styleId="938" w:customStyle="1">
    <w:name w:val="正文文本 (2)"/>
    <w:basedOn w:val="688"/>
    <w:link w:val="937"/>
    <w:uiPriority w:val="99"/>
    <w:qFormat/>
    <w:pPr>
      <w:ind w:left="900" w:hanging="420"/>
      <w:spacing w:line="480" w:lineRule="exact"/>
      <w:outlineLvl w:val="1"/>
    </w:pPr>
    <w:rPr>
      <w:rFonts w:ascii="Wingdings" w:hAnsi="Wingdings"/>
      <w:sz w:val="18"/>
      <w:lang w:val="zh-TW"/>
    </w:rPr>
  </w:style>
  <w:style w:type="character" w:styleId="939" w:customStyle="1">
    <w:name w:val="批注文字 Char"/>
    <w:link w:val="688"/>
    <w:uiPriority w:val="0"/>
    <w:qFormat/>
    <w:rPr>
      <w:rFonts w:ascii="Plotter" w:hAnsi="Plotter"/>
      <w:sz w:val="21"/>
      <w:szCs w:val="22"/>
    </w:rPr>
  </w:style>
  <w:style w:type="character" w:styleId="940" w:customStyle="1">
    <w:name w:val="time"/>
    <w:link w:val="688"/>
    <w:uiPriority w:val="0"/>
    <w:qFormat/>
    <w:rPr>
      <w:color w:val="939393"/>
      <w:sz w:val="18"/>
      <w:szCs w:val="18"/>
    </w:rPr>
  </w:style>
  <w:style w:type="character" w:styleId="941" w:customStyle="1">
    <w:name w:val="font21"/>
    <w:link w:val="688"/>
    <w:uiPriority w:val="0"/>
    <w:qFormat/>
    <w:rPr>
      <w:rFonts w:hint="eastAsia" w:ascii="宋体" w:hAnsi="宋体" w:eastAsia="宋体" w:cs="宋体"/>
      <w:color w:val="000000"/>
      <w:sz w:val="24"/>
      <w:szCs w:val="24"/>
      <w:u w:val="none"/>
    </w:rPr>
  </w:style>
  <w:style w:type="character" w:styleId="942" w:customStyle="1">
    <w:name w:val="channel"/>
    <w:link w:val="688"/>
    <w:uiPriority w:val="0"/>
    <w:qFormat/>
    <w:rPr>
      <w:color w:val="666666"/>
      <w:sz w:val="18"/>
      <w:szCs w:val="18"/>
    </w:rPr>
  </w:style>
  <w:style w:type="character" w:styleId="943" w:customStyle="1">
    <w:name w:val="日期 字符"/>
    <w:link w:val="688"/>
    <w:uiPriority w:val="0"/>
    <w:qFormat/>
    <w:rPr>
      <w:rFonts w:ascii="Plotter" w:hAnsi="Plotter"/>
      <w:sz w:val="21"/>
      <w:szCs w:val="22"/>
    </w:rPr>
  </w:style>
  <w:style w:type="character" w:styleId="944" w:customStyle="1">
    <w:name w:val="批注主题 Char1"/>
    <w:link w:val="688"/>
    <w:uiPriority w:val="0"/>
    <w:qFormat/>
  </w:style>
  <w:style w:type="character" w:styleId="945" w:customStyle="1">
    <w:name w:val="副标题 Char1"/>
    <w:link w:val="688"/>
    <w:uiPriority w:val="0"/>
    <w:qFormat/>
    <w:rPr>
      <w:rFonts w:ascii="Cambria" w:hAnsi="Cambria" w:cs="Times New Roman"/>
      <w:b/>
      <w:bCs/>
      <w:sz w:val="32"/>
      <w:szCs w:val="32"/>
    </w:rPr>
  </w:style>
  <w:style w:type="character" w:styleId="946" w:customStyle="1">
    <w:name w:val="批注框文本 字符"/>
    <w:link w:val="688"/>
    <w:uiPriority w:val="99"/>
    <w:qFormat/>
    <w:rPr>
      <w:sz w:val="18"/>
      <w:szCs w:val="18"/>
    </w:rPr>
  </w:style>
  <w:style w:type="character" w:styleId="947" w:customStyle="1">
    <w:name w:val="页码1"/>
    <w:link w:val="688"/>
    <w:uiPriority w:val="0"/>
    <w:qFormat/>
  </w:style>
  <w:style w:type="paragraph" w:styleId="948" w:customStyle="1">
    <w:name w:val="列出段落11"/>
    <w:basedOn w:val="688"/>
    <w:uiPriority w:val="0"/>
    <w:qFormat/>
    <w:pPr>
      <w:ind w:firstLine="420"/>
      <w:jc w:val="left"/>
    </w:pPr>
    <w:rPr>
      <w:rFonts w:cs="宋体"/>
      <w:sz w:val="22"/>
      <w:lang w:val="zh-CN" w:bidi="zh-CN"/>
    </w:rPr>
  </w:style>
  <w:style w:type="paragraph" w:styleId="949" w:customStyle="1">
    <w:name w:val="列出段落"/>
    <w:basedOn w:val="688"/>
    <w:uiPriority w:val="1"/>
    <w:qFormat/>
    <w:pPr>
      <w:ind w:firstLine="420"/>
    </w:pPr>
  </w:style>
  <w:style w:type="paragraph" w:styleId="950" w:customStyle="1">
    <w:name w:val="样式 样式 样式 左侧:  2 字符1 + 首行缩进:  2 字符1 + 首行缩进:  2 字符"/>
    <w:basedOn w:val="688"/>
    <w:uiPriority w:val="0"/>
    <w:qFormat/>
    <w:pPr>
      <w:ind w:firstLine="480"/>
      <w:spacing w:before="60" w:after="120" w:line="440" w:lineRule="atLeast"/>
      <w:widowControl/>
    </w:pPr>
    <w:rPr>
      <w:rFonts w:ascii="Times New Roman" w:hAnsi="Times New Roman" w:eastAsia="微软雅黑"/>
      <w:sz w:val="24"/>
    </w:rPr>
  </w:style>
  <w:style w:type="paragraph" w:styleId="951" w:customStyle="1">
    <w:name w:val="浅色网格 - 强调文字颜色 31"/>
    <w:basedOn w:val="688"/>
    <w:uiPriority w:val="34"/>
    <w:qFormat/>
    <w:pPr>
      <w:ind w:firstLine="420"/>
      <w:jc w:val="left"/>
      <w:widowControl/>
    </w:pPr>
    <w:rPr>
      <w:sz w:val="22"/>
      <w:lang w:eastAsia="en-US" w:bidi="en-US"/>
    </w:rPr>
  </w:style>
  <w:style w:type="paragraph" w:styleId="952" w:customStyle="1">
    <w:name w:val="GEDI正文样式"/>
    <w:basedOn w:val="688"/>
    <w:uiPriority w:val="0"/>
    <w:qFormat/>
    <w:pPr>
      <w:ind w:firstLine="480"/>
      <w:spacing w:line="480" w:lineRule="atLeast"/>
    </w:pPr>
    <w:rPr>
      <w:rFonts w:eastAsia="微软雅黑"/>
      <w:szCs w:val="24"/>
    </w:rPr>
  </w:style>
  <w:style w:type="paragraph" w:styleId="953" w:customStyle="1">
    <w:name w:val="正文1"/>
    <w:basedOn w:val="688"/>
    <w:next w:val="688"/>
    <w:uiPriority w:val="0"/>
    <w:qFormat/>
    <w:pPr>
      <w:ind w:firstLine="510"/>
      <w:spacing w:before="156" w:line="360" w:lineRule="auto"/>
    </w:pPr>
    <w:rPr>
      <w:rFonts w:ascii="Times New Roman" w:hAnsi="Times New Roman"/>
      <w:sz w:val="24"/>
      <w:szCs w:val="20"/>
    </w:rPr>
  </w:style>
  <w:style w:type="paragraph" w:styleId="954" w:customStyle="1">
    <w:name w:val="[基本段落]"/>
    <w:basedOn w:val="688"/>
    <w:uiPriority w:val="99"/>
    <w:qFormat/>
    <w:pPr>
      <w:spacing w:line="288" w:lineRule="auto"/>
    </w:pPr>
    <w:rPr>
      <w:rFonts w:ascii="宋体" w:hAnsi="Times New Roman" w:cs="宋体"/>
      <w:color w:val="000000"/>
      <w:sz w:val="24"/>
      <w:szCs w:val="24"/>
      <w:lang w:val="zh-CN"/>
    </w:rPr>
  </w:style>
  <w:style w:type="paragraph" w:styleId="955" w:customStyle="1">
    <w:name w:val="_Style 1"/>
    <w:basedOn w:val="688"/>
    <w:uiPriority w:val="99"/>
    <w:unhideWhenUsed/>
    <w:qFormat/>
    <w:pPr>
      <w:ind w:firstLine="420"/>
    </w:pPr>
  </w:style>
  <w:style w:type="paragraph" w:styleId="956" w:customStyle="1">
    <w:name w:val="Table Paragraph"/>
    <w:basedOn w:val="688"/>
    <w:uiPriority w:val="1"/>
    <w:qFormat/>
    <w:pPr>
      <w:jc w:val="left"/>
    </w:pPr>
    <w:rPr>
      <w:rFonts w:ascii="仿宋" w:eastAsia="仿宋" w:cs="黑体"/>
      <w:sz w:val="24"/>
      <w:lang w:eastAsia="en-US"/>
    </w:rPr>
  </w:style>
  <w:style w:type="paragraph" w:styleId="957" w:customStyle="1">
    <w:name w:val="纯文本1"/>
    <w:basedOn w:val="688"/>
    <w:uiPriority w:val="0"/>
    <w:qFormat/>
    <w:rPr>
      <w:rFonts w:ascii="宋体" w:hAnsi="Courier New" w:eastAsia="微软雅黑"/>
    </w:rPr>
  </w:style>
  <w:style w:type="paragraph" w:styleId="958" w:customStyle="1">
    <w:name w:val="列出段落3"/>
    <w:basedOn w:val="688"/>
    <w:uiPriority w:val="34"/>
    <w:qFormat/>
    <w:pPr>
      <w:ind w:firstLine="420"/>
    </w:pPr>
    <w:rPr>
      <w:rFonts w:ascii="Plotter" w:hAnsi="Plotter" w:eastAsia="微软雅黑"/>
    </w:rPr>
  </w:style>
  <w:style w:type="paragraph" w:styleId="959" w:customStyle="1">
    <w:name w:val="样式1"/>
    <w:basedOn w:val="688"/>
    <w:uiPriority w:val="0"/>
    <w:qFormat/>
    <w:pPr>
      <w:jc w:val="left"/>
      <w:widowControl/>
    </w:pPr>
    <w:rPr>
      <w:rFonts w:ascii="Times New Roman" w:hAnsi="Times New Roman"/>
      <w:sz w:val="20"/>
      <w:szCs w:val="20"/>
    </w:rPr>
  </w:style>
  <w:style w:type="paragraph" w:styleId="960"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61" w:customStyle="1">
    <w:name w:val="p15"/>
    <w:basedOn w:val="688"/>
    <w:uiPriority w:val="0"/>
    <w:qFormat/>
    <w:pPr>
      <w:ind w:firstLine="420"/>
    </w:pPr>
    <w:rPr>
      <w:rFonts w:eastAsia="微软雅黑" w:cs="Calibri"/>
    </w:rPr>
  </w:style>
  <w:style w:type="paragraph" w:styleId="962" w:customStyle="1">
    <w:name w:val="列出段落2"/>
    <w:basedOn w:val="688"/>
    <w:uiPriority w:val="99"/>
    <w:qFormat/>
    <w:pPr>
      <w:ind w:firstLine="420"/>
      <w:jc w:val="left"/>
      <w:widowControl/>
    </w:pPr>
    <w:rPr>
      <w:rFonts w:ascii="宋体" w:hAnsi="宋体" w:eastAsia="仿宋" w:cs="宋体"/>
      <w:sz w:val="28"/>
      <w:szCs w:val="24"/>
    </w:rPr>
  </w:style>
  <w:style w:type="paragraph" w:styleId="963" w:customStyle="1">
    <w:name w:val="正文段落"/>
    <w:basedOn w:val="688"/>
    <w:uiPriority w:val="0"/>
    <w:qFormat/>
    <w:pPr>
      <w:ind w:firstLine="200"/>
      <w:spacing w:before="100" w:beforeAutospacing="1" w:after="100" w:afterAutospacing="1"/>
    </w:pPr>
  </w:style>
  <w:style w:type="paragraph" w:styleId="964" w:customStyle="1">
    <w:name w:val="列出段落1"/>
    <w:basedOn w:val="688"/>
    <w:uiPriority w:val="0"/>
    <w:qFormat/>
    <w:pPr>
      <w:ind w:firstLine="420"/>
    </w:pPr>
    <w:rPr>
      <w:rFonts w:ascii="Times New Roman" w:hAnsi="Times New Roman"/>
      <w:szCs w:val="21"/>
    </w:rPr>
  </w:style>
  <w:style w:type="paragraph" w:styleId="965" w:customStyle="1">
    <w:name w:val="TOC 标题"/>
    <w:basedOn w:val="871"/>
    <w:next w:val="68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66" w:customStyle="1">
    <w:name w:val="四级目录"/>
    <w:basedOn w:val="688"/>
    <w:next w:val="688"/>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967"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68" w:customStyle="1">
    <w:name w:val="彩色列表 - 强调文字颜色 11"/>
    <w:basedOn w:val="688"/>
    <w:uiPriority w:val="99"/>
    <w:qFormat/>
    <w:pPr>
      <w:ind w:firstLine="420"/>
    </w:pPr>
  </w:style>
  <w:style w:type="character" w:styleId="969" w:customStyle="1">
    <w:name w:val="NormalCharacter1"/>
    <w:link w:val="688"/>
    <w:uiPriority w:val="0"/>
    <w:qFormat/>
  </w:style>
  <w:style w:type="paragraph" w:styleId="970" w:customStyle="1">
    <w:name w:val="索引 411"/>
    <w:basedOn w:val="688"/>
    <w:next w:val="688"/>
    <w:uiPriority w:val="99"/>
    <w:unhideWhenUsed/>
    <w:qFormat/>
    <w:pPr>
      <w:ind w:left="600"/>
    </w:pPr>
  </w:style>
  <w:style w:type="paragraph" w:styleId="971" w:customStyle="1">
    <w:name w:val="索引 41"/>
    <w:basedOn w:val="688"/>
    <w:next w:val="688"/>
    <w:uiPriority w:val="0"/>
    <w:semiHidden/>
    <w:qFormat/>
    <w:pPr>
      <w:ind w:left="1260"/>
    </w:pPr>
    <w:rPr>
      <w:rFonts w:ascii="Calibri" w:hAnsi="Calibri" w:eastAsia="Calibri" w:cs="宋体"/>
      <w:sz w:val="20"/>
      <w:lang w:val="zh-CN"/>
    </w:rPr>
  </w:style>
  <w:style w:type="paragraph" w:styleId="972" w:customStyle="1">
    <w:name w:val="正文格式"/>
    <w:basedOn w:val="688"/>
    <w:uiPriority w:val="0"/>
    <w:qFormat/>
    <w:pPr>
      <w:ind w:left="178" w:right="44" w:hanging="178"/>
      <w:jc w:val="left"/>
      <w:spacing w:line="360" w:lineRule="auto"/>
      <w:widowControl/>
    </w:pPr>
    <w:rPr>
      <w:rFonts w:ascii="Trebuchet MS" w:hAnsi="Trebuchet MS" w:eastAsia="等线" w:cs="Tahoma"/>
      <w:bCs/>
      <w:szCs w:val="21"/>
    </w:rPr>
  </w:style>
  <w:style w:type="paragraph" w:styleId="973" w:customStyle="1">
    <w:name w:val="标题1，章节第一层"/>
    <w:basedOn w:val="972"/>
    <w:next w:val="972"/>
    <w:uiPriority w:val="0"/>
    <w:qFormat/>
    <w:pPr>
      <w:ind w:left="272" w:hanging="272"/>
      <w:jc w:val="center"/>
      <w:tabs>
        <w:tab w:val="left" w:pos="693" w:leader="none"/>
      </w:tabs>
      <w:outlineLvl w:val="0"/>
    </w:pPr>
    <w:rPr>
      <w:rFonts w:eastAsia="ˎ̥"/>
      <w:color w:val="000000"/>
      <w:sz w:val="32"/>
      <w:szCs w:val="24"/>
      <w:lang w:val="zh-CN"/>
    </w:rPr>
  </w:style>
  <w:style w:type="character" w:styleId="974" w:customStyle="1">
    <w:name w:val="未处理的提及"/>
    <w:link w:val="688"/>
    <w:uiPriority w:val="99"/>
    <w:unhideWhenUsed/>
    <w:qFormat/>
    <w:rPr>
      <w:color w:val="605e5c"/>
      <w:shd w:val="clear" w:color="auto" w:fill="e1dfdd"/>
    </w:rPr>
  </w:style>
  <w:style w:type="paragraph" w:styleId="975" w:customStyle="1">
    <w:name w:val="普通(网站)1"/>
    <w:basedOn w:val="688"/>
    <w:uiPriority w:val="0"/>
    <w:qFormat/>
    <w:pPr>
      <w:jc w:val="left"/>
      <w:spacing w:before="100" w:beforeAutospacing="1" w:after="100" w:afterAutospacing="1"/>
      <w:widowControl/>
    </w:pPr>
    <w:rPr>
      <w:rFonts w:ascii="宋体" w:hAnsi="Times New Roman" w:cs="宋体"/>
      <w:sz w:val="24"/>
      <w:szCs w:val="24"/>
    </w:rPr>
  </w:style>
  <w:style w:type="paragraph" w:styleId="976" w:customStyle="1">
    <w:name w:val="Normal_0_1"/>
    <w:uiPriority w:val="0"/>
    <w:qFormat/>
    <w:rPr>
      <w:rFonts w:hint="default" w:ascii="黑体" w:hAnsi="黑体" w:eastAsia="黑体" w:cs="Times New Roman"/>
      <w:b/>
      <w:sz w:val="32"/>
      <w:szCs w:val="24"/>
      <w:lang w:val="en-US" w:eastAsia="zh-CN" w:bidi="ar-SA"/>
    </w:rPr>
  </w:style>
  <w:style w:type="paragraph" w:styleId="97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78" w:customStyle="1">
    <w:name w:val="首行缩进"/>
    <w:basedOn w:val="688"/>
    <w:uiPriority w:val="0"/>
    <w:qFormat/>
    <w:pPr>
      <w:ind w:firstLine="480"/>
      <w:jc w:val="left"/>
      <w:spacing w:line="360" w:lineRule="auto"/>
    </w:pPr>
    <w:rPr>
      <w:rFonts w:ascii="宋体" w:hAnsi="宋体"/>
      <w:sz w:val="24"/>
      <w:szCs w:val="24"/>
    </w:rPr>
  </w:style>
  <w:style w:type="paragraph" w:styleId="979">
    <w:name w:val="List Paragraph"/>
    <w:basedOn w:val="688"/>
    <w:uiPriority w:val="99"/>
    <w:unhideWhenUsed/>
    <w:qFormat/>
    <w:pPr>
      <w:ind w:firstLine="420"/>
    </w:pPr>
  </w:style>
  <w:style w:type="paragraph" w:styleId="980" w:customStyle="1">
    <w:name w:val="列表段落1"/>
    <w:basedOn w:val="688"/>
    <w:uiPriority w:val="99"/>
    <w:unhideWhenUsed/>
    <w:qFormat/>
    <w:pPr>
      <w:ind w:firstLine="420"/>
    </w:pPr>
  </w:style>
  <w:style w:type="numbering" w:styleId="8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0.d</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蒋冬</cp:lastModifiedBy>
  <cp:revision>4</cp:revision>
  <dcterms:created xsi:type="dcterms:W3CDTF">2024-08-06T17:43:00Z</dcterms:created>
  <dcterms:modified xsi:type="dcterms:W3CDTF">2025-11-17T01:24:17Z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eyJoZGlkIjoiN2M5ZWYxZmQ4ZTQ1OTg1OWQxNTdmYjEwNzkzMDZhOTQiLCJ1c2VySWQiOiI2MzA5MTI0ODgifQ==</vt:lpwstr>
  </property>
  <property fmtid="{D5CDD505-2E9C-101B-9397-08002B2CF9AE}" pid="3" name="KSOProductBuildVer">
    <vt:lpwstr>2052-12.1.0.23542</vt:lpwstr>
  </property>
  <property fmtid="{D5CDD505-2E9C-101B-9397-08002B2CF9AE}" pid="4" name="ICV">
    <vt:lpwstr>CDC3E7A6B2274A578367478F47C5D56A_12</vt:lpwstr>
  </property>
</Properties>
</file>